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D07" w:rsidRDefault="000A0E31">
      <w:pPr>
        <w:pStyle w:val="aff0"/>
        <w:spacing w:line="360" w:lineRule="auto"/>
        <w:jc w:val="center"/>
        <w:rPr>
          <w:szCs w:val="24"/>
        </w:rPr>
      </w:pPr>
      <w:r>
        <w:rPr>
          <w:szCs w:val="24"/>
        </w:rPr>
        <w:t>РОССИЙСКАЯ АКАДЕМИЯ НАРОДНОГО ХОЗЯЙСТВА И ГОСУДАРСТВЕННОЙ СЛУЖБЫ ПРИ ПРЕЗИДЕНТЕ РОССИЙСКОЙ ФЕДЕРАЦИИ</w:t>
      </w:r>
    </w:p>
    <w:p w:rsidR="004B5D07" w:rsidRDefault="000A0E31">
      <w:pPr>
        <w:pStyle w:val="aff0"/>
        <w:spacing w:line="360" w:lineRule="auto"/>
        <w:jc w:val="center"/>
        <w:rPr>
          <w:szCs w:val="24"/>
        </w:rPr>
      </w:pPr>
      <w:r>
        <w:rPr>
          <w:szCs w:val="24"/>
        </w:rPr>
        <w:t>ВЫСШАЯ ШКОЛА ГОСУДАРСТВЕННОГО УПРАВЛЕНИЯ</w:t>
      </w:r>
    </w:p>
    <w:p w:rsidR="004B5D07" w:rsidRDefault="004B5D07">
      <w:pPr>
        <w:spacing w:line="360" w:lineRule="auto"/>
        <w:jc w:val="center"/>
        <w:rPr>
          <w:rFonts w:ascii="Times New Roman" w:hAnsi="Times New Roman" w:cs="Times New Roman"/>
          <w:szCs w:val="24"/>
        </w:rPr>
      </w:pPr>
    </w:p>
    <w:p w:rsidR="002042FC" w:rsidRDefault="000A0E31">
      <w:pPr>
        <w:pStyle w:val="aff0"/>
        <w:spacing w:line="360" w:lineRule="auto"/>
        <w:jc w:val="center"/>
      </w:pPr>
      <w:r>
        <w:rPr>
          <w:szCs w:val="24"/>
        </w:rPr>
        <w:t>Выпускная аттестационная работа</w:t>
      </w:r>
      <w:r>
        <w:rPr>
          <w:szCs w:val="24"/>
        </w:rPr>
        <w:br/>
        <w:t>по программе повышения квалификации</w:t>
      </w:r>
      <w:r>
        <w:t xml:space="preserve"> управленческих кадров базового и перспективного уровней</w:t>
      </w:r>
    </w:p>
    <w:p w:rsidR="002042FC" w:rsidRDefault="002042FC">
      <w:pPr>
        <w:pStyle w:val="aff0"/>
        <w:spacing w:line="360" w:lineRule="auto"/>
        <w:jc w:val="center"/>
      </w:pPr>
    </w:p>
    <w:p w:rsidR="002042FC" w:rsidRDefault="002042FC">
      <w:pPr>
        <w:pStyle w:val="aff0"/>
        <w:spacing w:line="360" w:lineRule="auto"/>
        <w:jc w:val="center"/>
      </w:pPr>
    </w:p>
    <w:p w:rsidR="002042FC" w:rsidRDefault="002042FC">
      <w:pPr>
        <w:pStyle w:val="aff0"/>
        <w:spacing w:line="360" w:lineRule="auto"/>
        <w:jc w:val="center"/>
      </w:pPr>
    </w:p>
    <w:p w:rsidR="004B5D07" w:rsidRDefault="000A0E31">
      <w:pPr>
        <w:pStyle w:val="aff0"/>
        <w:spacing w:line="360" w:lineRule="auto"/>
        <w:jc w:val="center"/>
        <w:rPr>
          <w:b/>
          <w:bCs/>
          <w:szCs w:val="24"/>
        </w:rPr>
      </w:pPr>
      <w:r>
        <w:rPr>
          <w:b/>
          <w:bCs/>
          <w:szCs w:val="24"/>
        </w:rPr>
        <w:t xml:space="preserve">на тему: </w:t>
      </w:r>
    </w:p>
    <w:p w:rsidR="004B5D07" w:rsidRDefault="000A0E31">
      <w:pPr>
        <w:pStyle w:val="aff0"/>
        <w:spacing w:line="360" w:lineRule="auto"/>
        <w:jc w:val="center"/>
        <w:rPr>
          <w:b/>
          <w:bCs/>
          <w:caps/>
          <w:szCs w:val="24"/>
        </w:rPr>
      </w:pPr>
      <w:r>
        <w:rPr>
          <w:b/>
          <w:bCs/>
          <w:caps/>
          <w:szCs w:val="24"/>
        </w:rPr>
        <w:t xml:space="preserve">Национальный проект «Международная кооперация и экспорт». </w:t>
      </w:r>
    </w:p>
    <w:p w:rsidR="004B5D07" w:rsidRDefault="000A0E31">
      <w:pPr>
        <w:pStyle w:val="aff0"/>
        <w:spacing w:line="360" w:lineRule="auto"/>
        <w:jc w:val="center"/>
        <w:rPr>
          <w:b/>
          <w:bCs/>
          <w:caps/>
          <w:szCs w:val="24"/>
        </w:rPr>
      </w:pPr>
      <w:r>
        <w:rPr>
          <w:b/>
          <w:bCs/>
          <w:caps/>
          <w:szCs w:val="24"/>
        </w:rPr>
        <w:t>Федеральный проект «Промышленный экспорт»</w:t>
      </w:r>
      <w:r w:rsidR="00D868E7">
        <w:rPr>
          <w:b/>
          <w:bCs/>
          <w:caps/>
          <w:szCs w:val="24"/>
        </w:rPr>
        <w:t>.</w:t>
      </w:r>
    </w:p>
    <w:p w:rsidR="00FD7F3C" w:rsidRDefault="00FD7F3C" w:rsidP="00C11F5B">
      <w:pPr>
        <w:spacing w:after="0" w:line="360" w:lineRule="auto"/>
        <w:jc w:val="center"/>
        <w:rPr>
          <w:rFonts w:ascii="Times New Roman" w:hAnsi="Times New Roman" w:cs="Times New Roman"/>
          <w:b/>
          <w:bCs/>
          <w:caps/>
          <w:sz w:val="24"/>
          <w:szCs w:val="24"/>
        </w:rPr>
      </w:pPr>
      <w:r w:rsidRPr="00FD7F3C">
        <w:rPr>
          <w:rFonts w:ascii="Times New Roman" w:hAnsi="Times New Roman" w:cs="Times New Roman"/>
          <w:b/>
          <w:bCs/>
          <w:caps/>
          <w:sz w:val="24"/>
          <w:szCs w:val="24"/>
        </w:rPr>
        <w:t>СОВЕРШЕНСТВОВАНИЕ МЕХАНИЗМОВ ПОДДЕРЖКИ</w:t>
      </w:r>
    </w:p>
    <w:p w:rsidR="002042FC" w:rsidRDefault="00FD7F3C" w:rsidP="00C11F5B">
      <w:pPr>
        <w:spacing w:after="0" w:line="360" w:lineRule="auto"/>
        <w:jc w:val="center"/>
        <w:rPr>
          <w:b/>
          <w:bCs/>
          <w:caps/>
          <w:szCs w:val="24"/>
        </w:rPr>
      </w:pPr>
      <w:r w:rsidRPr="00FD7F3C">
        <w:rPr>
          <w:rFonts w:ascii="Times New Roman" w:hAnsi="Times New Roman" w:cs="Times New Roman"/>
          <w:b/>
          <w:bCs/>
          <w:caps/>
          <w:sz w:val="24"/>
          <w:szCs w:val="24"/>
        </w:rPr>
        <w:t xml:space="preserve">ПРОМЫШЛЕННОГО ЭКСПОРТА НА ПРИМЕРЕ </w:t>
      </w:r>
      <w:r w:rsidR="000A0E31" w:rsidRPr="00FD7F3C">
        <w:rPr>
          <w:rFonts w:ascii="Times New Roman" w:hAnsi="Times New Roman" w:cs="Times New Roman"/>
          <w:b/>
          <w:bCs/>
          <w:caps/>
          <w:sz w:val="24"/>
          <w:szCs w:val="24"/>
        </w:rPr>
        <w:t>корпоративных программ повышения конкурентоспособности</w:t>
      </w:r>
    </w:p>
    <w:p w:rsidR="002042FC" w:rsidRDefault="002042FC">
      <w:pPr>
        <w:spacing w:after="0" w:line="360" w:lineRule="auto"/>
        <w:rPr>
          <w:b/>
          <w:bCs/>
          <w:caps/>
          <w:szCs w:val="24"/>
        </w:rPr>
      </w:pPr>
    </w:p>
    <w:p w:rsidR="004B5D07" w:rsidRDefault="000A0E31">
      <w:pPr>
        <w:spacing w:after="0" w:line="360" w:lineRule="auto"/>
        <w:rPr>
          <w:rFonts w:ascii="Times New Roman" w:hAnsi="Times New Roman" w:cs="Times New Roman"/>
          <w:szCs w:val="24"/>
        </w:rPr>
      </w:pPr>
      <w:r>
        <w:rPr>
          <w:rFonts w:ascii="Times New Roman" w:hAnsi="Times New Roman" w:cs="Times New Roman"/>
          <w:szCs w:val="24"/>
        </w:rPr>
        <w:t>Разработчики слушатели программы:</w:t>
      </w:r>
    </w:p>
    <w:p w:rsidR="004B5D07" w:rsidRDefault="000A0E31" w:rsidP="00D868E7">
      <w:pPr>
        <w:spacing w:after="0" w:line="360" w:lineRule="auto"/>
        <w:ind w:left="2127"/>
        <w:jc w:val="both"/>
        <w:rPr>
          <w:rFonts w:ascii="Times New Roman" w:hAnsi="Times New Roman" w:cs="Times New Roman"/>
        </w:rPr>
      </w:pPr>
      <w:r>
        <w:rPr>
          <w:rFonts w:ascii="Times New Roman" w:hAnsi="Times New Roman" w:cs="Times New Roman"/>
          <w:b/>
        </w:rPr>
        <w:t xml:space="preserve">Волкова М.Г. </w:t>
      </w:r>
      <w:r>
        <w:rPr>
          <w:rFonts w:ascii="Times New Roman" w:hAnsi="Times New Roman" w:cs="Times New Roman"/>
        </w:rPr>
        <w:t>– старший управляющий директор Блока агента Правительства РФ государственная корпорация развития «ВЭБ.РФ»</w:t>
      </w:r>
    </w:p>
    <w:p w:rsidR="004B5D07" w:rsidRDefault="000A0E31" w:rsidP="00D868E7">
      <w:pPr>
        <w:spacing w:after="0" w:line="360" w:lineRule="auto"/>
        <w:ind w:left="2127"/>
        <w:jc w:val="both"/>
        <w:rPr>
          <w:rFonts w:ascii="Times New Roman" w:hAnsi="Times New Roman" w:cs="Times New Roman"/>
        </w:rPr>
      </w:pPr>
      <w:r>
        <w:rPr>
          <w:rFonts w:ascii="Times New Roman" w:hAnsi="Times New Roman" w:cs="Times New Roman"/>
          <w:b/>
        </w:rPr>
        <w:t>Волынский А.В.</w:t>
      </w:r>
      <w:r>
        <w:rPr>
          <w:rFonts w:ascii="Times New Roman" w:hAnsi="Times New Roman" w:cs="Times New Roman"/>
        </w:rPr>
        <w:t xml:space="preserve"> – главный консультант отдела анализа и мониторинга деятельности предприятий промышленности в управлении промышленного производства Минпромторга Тверской области </w:t>
      </w:r>
    </w:p>
    <w:p w:rsidR="004B5D07" w:rsidRDefault="000A0E31" w:rsidP="00D868E7">
      <w:pPr>
        <w:spacing w:after="0" w:line="360" w:lineRule="auto"/>
        <w:ind w:left="2127"/>
        <w:jc w:val="both"/>
        <w:rPr>
          <w:rFonts w:ascii="Times New Roman" w:hAnsi="Times New Roman" w:cs="Times New Roman"/>
        </w:rPr>
      </w:pPr>
      <w:r>
        <w:rPr>
          <w:rFonts w:ascii="Times New Roman" w:hAnsi="Times New Roman" w:cs="Times New Roman"/>
          <w:b/>
        </w:rPr>
        <w:t xml:space="preserve">Дмитриева Т.С. </w:t>
      </w:r>
      <w:r>
        <w:rPr>
          <w:rFonts w:ascii="Times New Roman" w:hAnsi="Times New Roman" w:cs="Times New Roman"/>
        </w:rPr>
        <w:t>– консультант отдела промышленной политики и инвестиций Минпромнауки Республики Мордовия</w:t>
      </w:r>
    </w:p>
    <w:p w:rsidR="004B5D07" w:rsidRDefault="000A0E31" w:rsidP="00D868E7">
      <w:pPr>
        <w:spacing w:after="0" w:line="360" w:lineRule="auto"/>
        <w:ind w:left="2127"/>
        <w:jc w:val="both"/>
        <w:rPr>
          <w:rFonts w:ascii="Times New Roman" w:hAnsi="Times New Roman" w:cs="Times New Roman"/>
        </w:rPr>
      </w:pPr>
      <w:r>
        <w:rPr>
          <w:rFonts w:ascii="Times New Roman" w:hAnsi="Times New Roman" w:cs="Times New Roman"/>
          <w:b/>
        </w:rPr>
        <w:t>Латышова И.А.</w:t>
      </w:r>
      <w:r>
        <w:rPr>
          <w:rFonts w:ascii="Times New Roman" w:hAnsi="Times New Roman" w:cs="Times New Roman"/>
        </w:rPr>
        <w:t xml:space="preserve"> – консультант отдела развития отраслей растениеводства Минсельхозпрод Республики Мордовия.</w:t>
      </w:r>
    </w:p>
    <w:p w:rsidR="004B5D07" w:rsidRDefault="000A0E31" w:rsidP="00D868E7">
      <w:pPr>
        <w:spacing w:after="0" w:line="360" w:lineRule="auto"/>
        <w:ind w:left="2127"/>
        <w:jc w:val="both"/>
        <w:rPr>
          <w:rFonts w:ascii="Times New Roman" w:hAnsi="Times New Roman" w:cs="Times New Roman"/>
        </w:rPr>
      </w:pPr>
      <w:r>
        <w:rPr>
          <w:rFonts w:ascii="Times New Roman" w:hAnsi="Times New Roman" w:cs="Times New Roman"/>
          <w:b/>
        </w:rPr>
        <w:t>Ротанова З.В.</w:t>
      </w:r>
      <w:r>
        <w:rPr>
          <w:rFonts w:ascii="Times New Roman" w:hAnsi="Times New Roman" w:cs="Times New Roman"/>
        </w:rPr>
        <w:t xml:space="preserve"> – начальник отдела бюджетной политики Департамента бюджетной политики и межбюджетных отношений Минфина Калининградской области</w:t>
      </w:r>
    </w:p>
    <w:p w:rsidR="004B5D07" w:rsidRDefault="000A0E31" w:rsidP="00D868E7">
      <w:pPr>
        <w:spacing w:after="0" w:line="360" w:lineRule="auto"/>
        <w:ind w:left="2127"/>
        <w:jc w:val="both"/>
        <w:rPr>
          <w:rFonts w:ascii="Times New Roman" w:hAnsi="Times New Roman" w:cs="Times New Roman"/>
        </w:rPr>
      </w:pPr>
      <w:r>
        <w:rPr>
          <w:rFonts w:ascii="Times New Roman" w:hAnsi="Times New Roman" w:cs="Times New Roman"/>
          <w:b/>
        </w:rPr>
        <w:t>Титаренко Д.В.</w:t>
      </w:r>
      <w:r>
        <w:rPr>
          <w:rFonts w:ascii="Times New Roman" w:hAnsi="Times New Roman" w:cs="Times New Roman"/>
        </w:rPr>
        <w:t xml:space="preserve"> – заместитель начальника отдела промышленного развития и сопровождения инвестиционных проектов Министерства инвестиций, развития предпринимательства и рыбного хозяйства Мурманской области </w:t>
      </w:r>
    </w:p>
    <w:p w:rsidR="004B5D07" w:rsidRDefault="000A0E31" w:rsidP="00D868E7">
      <w:pPr>
        <w:spacing w:after="0" w:line="360" w:lineRule="auto"/>
        <w:ind w:left="2127"/>
        <w:jc w:val="both"/>
        <w:rPr>
          <w:rFonts w:ascii="Times New Roman" w:hAnsi="Times New Roman" w:cs="Times New Roman"/>
        </w:rPr>
      </w:pPr>
      <w:r>
        <w:rPr>
          <w:rFonts w:ascii="Times New Roman" w:hAnsi="Times New Roman" w:cs="Times New Roman"/>
          <w:b/>
        </w:rPr>
        <w:t xml:space="preserve">Чура И.В. </w:t>
      </w:r>
      <w:r>
        <w:rPr>
          <w:rFonts w:ascii="Times New Roman" w:hAnsi="Times New Roman" w:cs="Times New Roman"/>
        </w:rPr>
        <w:t>– начальник отдела инвестиционной политики управления инвестиций Минэкономики Омской области</w:t>
      </w:r>
    </w:p>
    <w:p w:rsidR="004B5D07" w:rsidRDefault="004B5D07">
      <w:pPr>
        <w:spacing w:after="0" w:line="240" w:lineRule="auto"/>
        <w:ind w:left="1276"/>
        <w:jc w:val="both"/>
        <w:rPr>
          <w:rFonts w:ascii="Times New Roman" w:hAnsi="Times New Roman" w:cs="Times New Roman"/>
          <w:szCs w:val="24"/>
        </w:rPr>
      </w:pPr>
    </w:p>
    <w:p w:rsidR="004B5D07" w:rsidRDefault="000A0E31">
      <w:pPr>
        <w:tabs>
          <w:tab w:val="left" w:pos="6237"/>
        </w:tabs>
        <w:spacing w:line="360" w:lineRule="auto"/>
        <w:jc w:val="center"/>
        <w:rPr>
          <w:rFonts w:ascii="Times New Roman" w:hAnsi="Times New Roman" w:cs="Times New Roman"/>
          <w:sz w:val="24"/>
          <w:szCs w:val="24"/>
        </w:rPr>
      </w:pPr>
      <w:r>
        <w:rPr>
          <w:rFonts w:ascii="Times New Roman" w:hAnsi="Times New Roman" w:cs="Times New Roman"/>
          <w:szCs w:val="24"/>
        </w:rPr>
        <w:t>Москва, 2019</w:t>
      </w:r>
      <w:r>
        <w:rPr>
          <w:rFonts w:ascii="Times New Roman" w:hAnsi="Times New Roman" w:cs="Times New Roman"/>
          <w:sz w:val="24"/>
          <w:szCs w:val="24"/>
        </w:rPr>
        <w:br w:type="page"/>
      </w:r>
    </w:p>
    <w:sdt>
      <w:sdtPr>
        <w:rPr>
          <w:rFonts w:asciiTheme="minorHAnsi" w:eastAsiaTheme="minorHAnsi" w:hAnsiTheme="minorHAnsi" w:cstheme="minorBidi"/>
          <w:color w:val="auto"/>
          <w:sz w:val="22"/>
          <w:szCs w:val="22"/>
          <w:lang w:eastAsia="en-US"/>
        </w:rPr>
        <w:id w:val="-659995283"/>
        <w:docPartObj>
          <w:docPartGallery w:val="Table of Contents"/>
          <w:docPartUnique/>
        </w:docPartObj>
      </w:sdtPr>
      <w:sdtContent>
        <w:p w:rsidR="00672E05" w:rsidRPr="00251379" w:rsidRDefault="00672E05" w:rsidP="00F93D70">
          <w:pPr>
            <w:pStyle w:val="aff4"/>
            <w:spacing w:line="360" w:lineRule="auto"/>
            <w:jc w:val="center"/>
            <w:rPr>
              <w:rFonts w:ascii="Times New Roman" w:hAnsi="Times New Roman" w:cs="Times New Roman"/>
              <w:b/>
              <w:color w:val="auto"/>
              <w:sz w:val="24"/>
              <w:szCs w:val="24"/>
            </w:rPr>
          </w:pPr>
          <w:r w:rsidRPr="00251379">
            <w:rPr>
              <w:rFonts w:ascii="Times New Roman" w:hAnsi="Times New Roman" w:cs="Times New Roman"/>
              <w:b/>
              <w:color w:val="auto"/>
              <w:sz w:val="24"/>
              <w:szCs w:val="24"/>
            </w:rPr>
            <w:t>Оглавление</w:t>
          </w:r>
        </w:p>
        <w:p w:rsidR="00672E05" w:rsidRPr="00251379" w:rsidRDefault="00672E05" w:rsidP="00F93D70">
          <w:pPr>
            <w:pStyle w:val="11"/>
            <w:spacing w:line="360" w:lineRule="auto"/>
            <w:rPr>
              <w:rFonts w:ascii="Times New Roman" w:hAnsi="Times New Roman" w:cs="Times New Roman"/>
              <w:sz w:val="24"/>
              <w:szCs w:val="24"/>
            </w:rPr>
          </w:pPr>
          <w:r w:rsidRPr="00251379">
            <w:rPr>
              <w:rFonts w:ascii="Times New Roman" w:hAnsi="Times New Roman" w:cs="Times New Roman"/>
              <w:sz w:val="24"/>
              <w:szCs w:val="24"/>
            </w:rPr>
            <w:t xml:space="preserve">ОСНОВНАЯ ЧАСТЬ </w:t>
          </w:r>
          <w:r w:rsidRPr="00251379">
            <w:rPr>
              <w:rFonts w:ascii="Times New Roman" w:hAnsi="Times New Roman" w:cs="Times New Roman"/>
              <w:sz w:val="24"/>
              <w:szCs w:val="24"/>
            </w:rPr>
            <w:ptab w:relativeTo="margin" w:alignment="right" w:leader="dot"/>
          </w:r>
          <w:r w:rsidR="00251379">
            <w:rPr>
              <w:rFonts w:ascii="Times New Roman" w:hAnsi="Times New Roman" w:cs="Times New Roman"/>
              <w:b/>
              <w:bCs/>
              <w:sz w:val="24"/>
              <w:szCs w:val="24"/>
            </w:rPr>
            <w:t>3</w:t>
          </w:r>
        </w:p>
        <w:p w:rsidR="00672E05" w:rsidRPr="005E3C4B" w:rsidRDefault="00672E05" w:rsidP="00F93D70">
          <w:pPr>
            <w:pStyle w:val="23"/>
            <w:spacing w:line="360" w:lineRule="auto"/>
            <w:ind w:left="0"/>
            <w:rPr>
              <w:rFonts w:ascii="Times New Roman" w:hAnsi="Times New Roman"/>
              <w:bCs/>
              <w:sz w:val="24"/>
              <w:szCs w:val="24"/>
            </w:rPr>
          </w:pPr>
          <w:r w:rsidRPr="005E3C4B">
            <w:rPr>
              <w:rFonts w:ascii="Times New Roman" w:hAnsi="Times New Roman"/>
              <w:bCs/>
              <w:sz w:val="24"/>
              <w:szCs w:val="24"/>
            </w:rPr>
            <w:t xml:space="preserve">1. На какие вызовы реализации национального проекта отвечает проект. Ситуация реализации федерального проекта. Рабочее понятие эффективной реализации федерального проекта. </w:t>
          </w:r>
          <w:r w:rsidRPr="005E3C4B">
            <w:rPr>
              <w:rFonts w:ascii="Times New Roman" w:hAnsi="Times New Roman"/>
              <w:bCs/>
              <w:sz w:val="24"/>
              <w:szCs w:val="24"/>
            </w:rPr>
            <w:ptab w:relativeTo="margin" w:alignment="right" w:leader="dot"/>
          </w:r>
          <w:r w:rsidR="00251379" w:rsidRPr="005E3C4B">
            <w:rPr>
              <w:rFonts w:ascii="Times New Roman" w:hAnsi="Times New Roman"/>
              <w:bCs/>
              <w:sz w:val="24"/>
              <w:szCs w:val="24"/>
            </w:rPr>
            <w:t>3</w:t>
          </w:r>
        </w:p>
        <w:p w:rsidR="00672E05" w:rsidRPr="005E3C4B" w:rsidRDefault="00672E05" w:rsidP="00F93D70">
          <w:pPr>
            <w:pStyle w:val="31"/>
            <w:spacing w:line="360" w:lineRule="auto"/>
            <w:ind w:left="0"/>
            <w:rPr>
              <w:rFonts w:ascii="Times New Roman" w:hAnsi="Times New Roman" w:cs="Times New Roman"/>
              <w:bCs/>
              <w:sz w:val="24"/>
              <w:szCs w:val="24"/>
            </w:rPr>
          </w:pPr>
          <w:r w:rsidRPr="005E3C4B">
            <w:rPr>
              <w:rFonts w:ascii="Times New Roman" w:hAnsi="Times New Roman" w:cs="Times New Roman"/>
              <w:bCs/>
              <w:sz w:val="24"/>
              <w:szCs w:val="24"/>
            </w:rPr>
            <w:t xml:space="preserve">2. Кратко описание предлагаемого решения по эффективности реализации федерального проекта  </w:t>
          </w:r>
          <w:r w:rsidRPr="005E3C4B">
            <w:rPr>
              <w:rFonts w:ascii="Times New Roman" w:hAnsi="Times New Roman" w:cs="Times New Roman"/>
              <w:bCs/>
              <w:sz w:val="24"/>
              <w:szCs w:val="24"/>
            </w:rPr>
            <w:ptab w:relativeTo="margin" w:alignment="right" w:leader="dot"/>
          </w:r>
          <w:r w:rsidR="00251379" w:rsidRPr="005E3C4B">
            <w:rPr>
              <w:rFonts w:ascii="Times New Roman" w:hAnsi="Times New Roman" w:cs="Times New Roman"/>
              <w:bCs/>
              <w:sz w:val="24"/>
              <w:szCs w:val="24"/>
            </w:rPr>
            <w:t>5</w:t>
          </w:r>
        </w:p>
        <w:p w:rsidR="00672E05" w:rsidRPr="005E3C4B" w:rsidRDefault="00251379" w:rsidP="00F93D70">
          <w:pPr>
            <w:pStyle w:val="11"/>
            <w:spacing w:line="360" w:lineRule="auto"/>
            <w:rPr>
              <w:rFonts w:ascii="Times New Roman" w:hAnsi="Times New Roman" w:cs="Times New Roman"/>
              <w:bCs/>
              <w:sz w:val="24"/>
              <w:szCs w:val="24"/>
            </w:rPr>
          </w:pPr>
          <w:r w:rsidRPr="005E3C4B">
            <w:rPr>
              <w:rFonts w:ascii="Times New Roman" w:hAnsi="Times New Roman" w:cs="Times New Roman"/>
              <w:bCs/>
              <w:sz w:val="24"/>
              <w:szCs w:val="24"/>
            </w:rPr>
            <w:t xml:space="preserve">3. Проектное предложение (организационная и функциональная схема проекта, описание) </w:t>
          </w:r>
          <w:r w:rsidR="00672E05" w:rsidRPr="005E3C4B">
            <w:rPr>
              <w:rFonts w:ascii="Times New Roman" w:hAnsi="Times New Roman" w:cs="Times New Roman"/>
              <w:bCs/>
              <w:sz w:val="24"/>
              <w:szCs w:val="24"/>
            </w:rPr>
            <w:ptab w:relativeTo="margin" w:alignment="right" w:leader="dot"/>
          </w:r>
          <w:r w:rsidRPr="005E3C4B">
            <w:rPr>
              <w:rFonts w:ascii="Times New Roman" w:hAnsi="Times New Roman" w:cs="Times New Roman"/>
              <w:bCs/>
              <w:sz w:val="24"/>
              <w:szCs w:val="24"/>
            </w:rPr>
            <w:t>6</w:t>
          </w:r>
        </w:p>
        <w:p w:rsidR="00672E05" w:rsidRPr="005E3C4B" w:rsidRDefault="00251379" w:rsidP="00F93D70">
          <w:pPr>
            <w:pStyle w:val="23"/>
            <w:spacing w:line="360" w:lineRule="auto"/>
            <w:ind w:left="0"/>
            <w:rPr>
              <w:rFonts w:ascii="Times New Roman" w:hAnsi="Times New Roman"/>
              <w:bCs/>
              <w:sz w:val="24"/>
              <w:szCs w:val="24"/>
            </w:rPr>
          </w:pPr>
          <w:r w:rsidRPr="005E3C4B">
            <w:rPr>
              <w:rFonts w:ascii="Times New Roman" w:hAnsi="Times New Roman"/>
              <w:bCs/>
              <w:sz w:val="24"/>
              <w:szCs w:val="24"/>
            </w:rPr>
            <w:t xml:space="preserve">4. Основные стейкхолдеры (заинтересованные лица) предлагаемого решения </w:t>
          </w:r>
          <w:r w:rsidR="00672E05" w:rsidRPr="005E3C4B">
            <w:rPr>
              <w:rFonts w:ascii="Times New Roman" w:hAnsi="Times New Roman"/>
              <w:bCs/>
              <w:sz w:val="24"/>
              <w:szCs w:val="24"/>
            </w:rPr>
            <w:ptab w:relativeTo="margin" w:alignment="right" w:leader="dot"/>
          </w:r>
          <w:r w:rsidRPr="005E3C4B">
            <w:rPr>
              <w:rFonts w:ascii="Times New Roman" w:hAnsi="Times New Roman"/>
              <w:bCs/>
              <w:sz w:val="24"/>
              <w:szCs w:val="24"/>
            </w:rPr>
            <w:t>12</w:t>
          </w:r>
        </w:p>
        <w:p w:rsidR="00251379" w:rsidRPr="005E3C4B" w:rsidRDefault="00251379" w:rsidP="00F93D70">
          <w:pPr>
            <w:pStyle w:val="31"/>
            <w:spacing w:line="360" w:lineRule="auto"/>
            <w:ind w:left="0"/>
            <w:rPr>
              <w:rFonts w:ascii="Times New Roman" w:hAnsi="Times New Roman" w:cs="Times New Roman"/>
              <w:bCs/>
              <w:sz w:val="24"/>
              <w:szCs w:val="24"/>
            </w:rPr>
          </w:pPr>
          <w:r w:rsidRPr="005E3C4B">
            <w:rPr>
              <w:rFonts w:ascii="Times New Roman" w:hAnsi="Times New Roman" w:cs="Times New Roman"/>
              <w:bCs/>
              <w:sz w:val="24"/>
              <w:szCs w:val="24"/>
            </w:rPr>
            <w:t xml:space="preserve">5. Результаты, эффекты проектного решения </w:t>
          </w:r>
          <w:r w:rsidR="00672E05" w:rsidRPr="005E3C4B">
            <w:rPr>
              <w:rFonts w:ascii="Times New Roman" w:hAnsi="Times New Roman" w:cs="Times New Roman"/>
              <w:bCs/>
              <w:sz w:val="24"/>
              <w:szCs w:val="24"/>
            </w:rPr>
            <w:ptab w:relativeTo="margin" w:alignment="right" w:leader="dot"/>
          </w:r>
          <w:r w:rsidRPr="005E3C4B">
            <w:rPr>
              <w:rFonts w:ascii="Times New Roman" w:hAnsi="Times New Roman" w:cs="Times New Roman"/>
              <w:bCs/>
              <w:sz w:val="24"/>
              <w:szCs w:val="24"/>
            </w:rPr>
            <w:t>13</w:t>
          </w:r>
        </w:p>
        <w:p w:rsidR="00251379" w:rsidRPr="005E3C4B" w:rsidRDefault="00251379" w:rsidP="00F93D70">
          <w:pPr>
            <w:pStyle w:val="41"/>
            <w:ind w:firstLine="0"/>
            <w:rPr>
              <w:b w:val="0"/>
              <w:bCs/>
            </w:rPr>
          </w:pPr>
          <w:r w:rsidRPr="005E3C4B">
            <w:rPr>
              <w:b w:val="0"/>
              <w:bCs/>
            </w:rPr>
            <w:t>6. Предложения по внесению изменений в рамках</w:t>
          </w:r>
          <w:r w:rsidR="00F93D70" w:rsidRPr="005E3C4B">
            <w:rPr>
              <w:b w:val="0"/>
              <w:bCs/>
            </w:rPr>
            <w:t xml:space="preserve"> реализации федерального      проекта </w:t>
          </w:r>
          <w:r w:rsidRPr="005E3C4B">
            <w:rPr>
              <w:b w:val="0"/>
              <w:bCs/>
            </w:rPr>
            <w:ptab w:relativeTo="margin" w:alignment="right" w:leader="dot"/>
          </w:r>
          <w:r w:rsidRPr="005E3C4B">
            <w:rPr>
              <w:b w:val="0"/>
              <w:bCs/>
            </w:rPr>
            <w:t>14</w:t>
          </w:r>
        </w:p>
        <w:p w:rsidR="00251379" w:rsidRPr="005E3C4B" w:rsidRDefault="00251379" w:rsidP="00F93D70">
          <w:pPr>
            <w:pStyle w:val="41"/>
            <w:ind w:firstLine="0"/>
            <w:rPr>
              <w:b w:val="0"/>
              <w:bCs/>
            </w:rPr>
          </w:pPr>
          <w:r w:rsidRPr="005E3C4B">
            <w:rPr>
              <w:b w:val="0"/>
              <w:bCs/>
            </w:rPr>
            <w:t xml:space="preserve">7. Команда проекта </w:t>
          </w:r>
          <w:r w:rsidRPr="005E3C4B">
            <w:rPr>
              <w:b w:val="0"/>
              <w:bCs/>
            </w:rPr>
            <w:ptab w:relativeTo="margin" w:alignment="right" w:leader="dot"/>
          </w:r>
          <w:r w:rsidRPr="005E3C4B">
            <w:rPr>
              <w:b w:val="0"/>
              <w:bCs/>
            </w:rPr>
            <w:t>15</w:t>
          </w:r>
        </w:p>
        <w:p w:rsidR="00251379" w:rsidRPr="005E3C4B" w:rsidRDefault="00251379" w:rsidP="00F93D70">
          <w:pPr>
            <w:spacing w:line="360" w:lineRule="auto"/>
            <w:rPr>
              <w:rFonts w:ascii="Times New Roman" w:hAnsi="Times New Roman" w:cs="Times New Roman"/>
              <w:bCs/>
              <w:sz w:val="24"/>
              <w:szCs w:val="24"/>
            </w:rPr>
          </w:pPr>
          <w:r w:rsidRPr="005E3C4B">
            <w:rPr>
              <w:rFonts w:ascii="Times New Roman" w:hAnsi="Times New Roman" w:cs="Times New Roman"/>
              <w:bCs/>
              <w:sz w:val="24"/>
              <w:szCs w:val="24"/>
            </w:rPr>
            <w:t xml:space="preserve">Список литературы </w:t>
          </w:r>
          <w:r w:rsidRPr="005E3C4B">
            <w:rPr>
              <w:rFonts w:ascii="Times New Roman" w:hAnsi="Times New Roman" w:cs="Times New Roman"/>
              <w:bCs/>
              <w:sz w:val="24"/>
              <w:szCs w:val="24"/>
            </w:rPr>
            <w:ptab w:relativeTo="margin" w:alignment="right" w:leader="dot"/>
          </w:r>
          <w:r w:rsidRPr="005E3C4B">
            <w:rPr>
              <w:rFonts w:ascii="Times New Roman" w:hAnsi="Times New Roman" w:cs="Times New Roman"/>
              <w:bCs/>
              <w:sz w:val="24"/>
              <w:szCs w:val="24"/>
            </w:rPr>
            <w:t>16</w:t>
          </w:r>
        </w:p>
        <w:p w:rsidR="00672E05" w:rsidRPr="00251379" w:rsidRDefault="00E617E8" w:rsidP="00F93D70">
          <w:pPr>
            <w:spacing w:line="360" w:lineRule="auto"/>
          </w:pPr>
        </w:p>
      </w:sdtContent>
    </w:sdt>
    <w:p w:rsidR="00672E05" w:rsidRDefault="00672E05" w:rsidP="00672E05">
      <w:pPr>
        <w:pStyle w:val="41"/>
      </w:pPr>
      <w:bookmarkStart w:id="0" w:name="_GoBack"/>
      <w:bookmarkEnd w:id="0"/>
    </w:p>
    <w:p w:rsidR="004B5D07" w:rsidRPr="00672E05" w:rsidRDefault="00C11F5B" w:rsidP="00251379">
      <w:pPr>
        <w:pStyle w:val="41"/>
        <w:pageBreakBefore/>
      </w:pPr>
      <w:r w:rsidRPr="00672E05">
        <w:lastRenderedPageBreak/>
        <w:t>ОСНОВНАЯ ЧАСТЬ</w:t>
      </w:r>
    </w:p>
    <w:p w:rsidR="004B5D07" w:rsidRDefault="004B5D07">
      <w:pPr>
        <w:spacing w:after="0" w:line="360" w:lineRule="auto"/>
        <w:ind w:firstLine="709"/>
        <w:rPr>
          <w:rFonts w:ascii="Times New Roman" w:hAnsi="Times New Roman" w:cs="Times New Roman"/>
          <w:b/>
          <w:sz w:val="24"/>
          <w:szCs w:val="24"/>
        </w:rPr>
      </w:pPr>
    </w:p>
    <w:p w:rsidR="004B5D07" w:rsidRPr="00672E05" w:rsidRDefault="000A0E31" w:rsidP="00672E05">
      <w:pPr>
        <w:pStyle w:val="41"/>
      </w:pPr>
      <w:r w:rsidRPr="00672E05">
        <w:t>1. На какие вызовы реализации национального проекта отвечает проект. Ситуация реализации федерального проекта. Рабочее понятие эффективной реализации федерального проекта.</w:t>
      </w:r>
    </w:p>
    <w:p w:rsidR="004B5D07" w:rsidRDefault="000A0E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Национальный проект «Международная кооперация и экспорт» (далее – национальный проект) один из приоритетных проектов Правительства Российской Федерации на ближайшие пять лет. В нем учтена необходимость качественного изменения структуры российского экспорта, в том числе через его диверсификацию и повышение конкурентных преимуществ российских товаров.</w:t>
      </w:r>
    </w:p>
    <w:p w:rsidR="004B5D07" w:rsidRDefault="000A0E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Чтобы нарастить экспорт и достичь целевых показателей национального проекта, не обойтись без увеличен</w:t>
      </w:r>
      <w:r w:rsidR="00700B62">
        <w:rPr>
          <w:rFonts w:ascii="Times New Roman" w:hAnsi="Times New Roman" w:cs="Times New Roman"/>
          <w:sz w:val="24"/>
          <w:szCs w:val="24"/>
        </w:rPr>
        <w:t>ия числа конкурентных экспортно-</w:t>
      </w:r>
      <w:r>
        <w:rPr>
          <w:rFonts w:ascii="Times New Roman" w:hAnsi="Times New Roman" w:cs="Times New Roman"/>
          <w:sz w:val="24"/>
          <w:szCs w:val="24"/>
        </w:rPr>
        <w:t xml:space="preserve">ориентированных производств. </w:t>
      </w:r>
    </w:p>
    <w:p w:rsidR="004B5D07" w:rsidRDefault="000A0E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«Задача проекта состоит в том, чтобы наши предприятия производили продукцию, которая пользуется спросом на мировых рынках. И экспорт здесь не является самоцелью, а лишь маркером того, что промышленная продукция, которая реализуется на внутреннем рынке, пользуется спросом не только у нас, но и у зарубежных потребителей» - объяснял вице-премьер Правительства РФ Дмитрий Козак. </w:t>
      </w:r>
    </w:p>
    <w:p w:rsidR="004B5D07" w:rsidRDefault="000A0E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структуре российского экспорта 47% приходиться на сырье, 20% на несырьевые энергетические товары и лишь 33% занимаю несырьевые неэнергетические товары (далее – ННЭ; данные 2018 года). Структура ННЭ представлена на рисунке 1. </w:t>
      </w:r>
    </w:p>
    <w:p w:rsidR="004B5D07" w:rsidRDefault="000A0E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Рис.1 Структура несырьевого, неэнергетического экспорта России в 2018 году </w:t>
      </w:r>
      <w:r w:rsidRPr="002042FC">
        <w:rPr>
          <w:rFonts w:ascii="Times New Roman" w:hAnsi="Times New Roman" w:cs="Times New Roman"/>
          <w:sz w:val="24"/>
          <w:szCs w:val="24"/>
        </w:rPr>
        <w:t xml:space="preserve">(сайт </w:t>
      </w:r>
      <w:r>
        <w:rPr>
          <w:rFonts w:ascii="Times New Roman" w:hAnsi="Times New Roman" w:cs="Times New Roman"/>
          <w:sz w:val="24"/>
          <w:szCs w:val="24"/>
        </w:rPr>
        <w:t>https://www.exportcenter.ru</w:t>
      </w:r>
      <w:r w:rsidRPr="002042FC">
        <w:rPr>
          <w:rFonts w:ascii="Times New Roman" w:hAnsi="Times New Roman" w:cs="Times New Roman"/>
          <w:sz w:val="24"/>
          <w:szCs w:val="24"/>
        </w:rPr>
        <w:t>)</w:t>
      </w:r>
    </w:p>
    <w:p w:rsidR="004B5D07" w:rsidRDefault="000A0E31">
      <w:pPr>
        <w:spacing w:after="0" w:line="360" w:lineRule="auto"/>
        <w:jc w:val="center"/>
        <w:rPr>
          <w:rFonts w:ascii="Times New Roman" w:hAnsi="Times New Roman" w:cs="Times New Roman"/>
          <w:sz w:val="24"/>
          <w:szCs w:val="24"/>
        </w:rPr>
      </w:pPr>
      <w:r>
        <w:rPr>
          <w:noProof/>
          <w:lang w:eastAsia="ru-RU"/>
        </w:rPr>
        <w:drawing>
          <wp:inline distT="0" distB="0" distL="0" distR="0">
            <wp:extent cx="5768337" cy="2552346"/>
            <wp:effectExtent l="0" t="0" r="444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097" t="24899" r="2997" b="12214"/>
                    <a:stretch/>
                  </pic:blipFill>
                  <pic:spPr bwMode="auto">
                    <a:xfrm>
                      <a:off x="0" y="0"/>
                      <a:ext cx="5832949" cy="258093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4B5D07" w:rsidRDefault="000A0E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 </w:t>
      </w:r>
      <w:r w:rsidR="00895420">
        <w:rPr>
          <w:rFonts w:ascii="Times New Roman" w:hAnsi="Times New Roman" w:cs="Times New Roman"/>
          <w:sz w:val="24"/>
          <w:szCs w:val="24"/>
        </w:rPr>
        <w:t>с</w:t>
      </w:r>
      <w:r>
        <w:rPr>
          <w:rFonts w:ascii="Times New Roman" w:hAnsi="Times New Roman" w:cs="Times New Roman"/>
          <w:sz w:val="24"/>
          <w:szCs w:val="24"/>
        </w:rPr>
        <w:t xml:space="preserve">чет реализации федерального </w:t>
      </w:r>
      <w:r w:rsidRPr="00B40F42">
        <w:rPr>
          <w:rFonts w:ascii="Times New Roman" w:hAnsi="Times New Roman" w:cs="Times New Roman"/>
          <w:sz w:val="24"/>
          <w:szCs w:val="24"/>
        </w:rPr>
        <w:t>проекта «Промышленный экспорт» планируется</w:t>
      </w:r>
      <w:r>
        <w:rPr>
          <w:rFonts w:ascii="Times New Roman" w:hAnsi="Times New Roman" w:cs="Times New Roman"/>
          <w:sz w:val="24"/>
          <w:szCs w:val="24"/>
        </w:rPr>
        <w:t xml:space="preserve"> достичь к 2024 году объем экспорта в 205 млрд. долл. США – это 82% от основного показателя национального проекта по объему экспорта ННЭ.</w:t>
      </w:r>
    </w:p>
    <w:p w:rsidR="004B5D07" w:rsidRDefault="000A0E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Стимулом для повышения конкурентоспособности организаций, производящих и реализующих промышленную п</w:t>
      </w:r>
      <w:r w:rsidR="00700B62">
        <w:rPr>
          <w:rFonts w:ascii="Times New Roman" w:hAnsi="Times New Roman" w:cs="Times New Roman"/>
          <w:sz w:val="24"/>
          <w:szCs w:val="24"/>
        </w:rPr>
        <w:t>родукцию, в том числе экспортно-</w:t>
      </w:r>
      <w:r>
        <w:rPr>
          <w:rFonts w:ascii="Times New Roman" w:hAnsi="Times New Roman" w:cs="Times New Roman"/>
          <w:sz w:val="24"/>
          <w:szCs w:val="24"/>
        </w:rPr>
        <w:t xml:space="preserve">ориентированную, призваны стать соглашения о реализации корпоративных программ повышения конкурентоспособности (далее – КППК), заключенные между организациями и Минпромторгом России, в соответствии с которыми производители обязуются обеспечить увеличение объема производства и реализации продукции, в том числе на экспорт, получая при этом доступ к механизмам льготного кредитования </w:t>
      </w:r>
      <w:r w:rsidR="00B40F42" w:rsidRPr="00B40F42">
        <w:rPr>
          <w:rFonts w:ascii="Times New Roman" w:hAnsi="Times New Roman" w:cs="Times New Roman"/>
          <w:sz w:val="24"/>
          <w:szCs w:val="24"/>
        </w:rPr>
        <w:t>(</w:t>
      </w:r>
      <w:r w:rsidR="00B40F42">
        <w:rPr>
          <w:rFonts w:ascii="Times New Roman" w:hAnsi="Times New Roman" w:cs="Times New Roman"/>
          <w:sz w:val="24"/>
          <w:szCs w:val="24"/>
        </w:rPr>
        <w:t>субсидирование</w:t>
      </w:r>
      <w:r w:rsidRPr="00B40F42">
        <w:rPr>
          <w:rFonts w:ascii="Times New Roman" w:hAnsi="Times New Roman" w:cs="Times New Roman"/>
          <w:sz w:val="24"/>
          <w:szCs w:val="24"/>
        </w:rPr>
        <w:t>4</w:t>
      </w:r>
      <w:r w:rsidR="00B40F42">
        <w:rPr>
          <w:rFonts w:ascii="Times New Roman" w:hAnsi="Times New Roman" w:cs="Times New Roman"/>
          <w:sz w:val="24"/>
          <w:szCs w:val="24"/>
        </w:rPr>
        <w:t>,</w:t>
      </w:r>
      <w:r w:rsidRPr="00B40F42">
        <w:rPr>
          <w:rFonts w:ascii="Times New Roman" w:hAnsi="Times New Roman" w:cs="Times New Roman"/>
          <w:sz w:val="24"/>
          <w:szCs w:val="24"/>
        </w:rPr>
        <w:t>5% от ставки банка).</w:t>
      </w:r>
    </w:p>
    <w:p w:rsidR="004B5D07" w:rsidRDefault="000A0E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КППК – это программа деятельности организации, направленная на повышение конкурентоспособности, увеличение объемов производства и реализации продукции. Кроме доступа к механизмам льготного кредитования ряд мер поддержки промышленности в приоритетном порядке планируется предоставлять именно организациям, имеющим соглашения о реализации КППК с Минпромторгом Росс</w:t>
      </w:r>
      <w:r w:rsidRPr="00C154E3">
        <w:rPr>
          <w:rFonts w:ascii="Times New Roman" w:hAnsi="Times New Roman" w:cs="Times New Roman"/>
          <w:sz w:val="24"/>
          <w:szCs w:val="24"/>
        </w:rPr>
        <w:t>ии. На механизм поддержки КППК запланировано порядка 50% бюджета федерального проекта.</w:t>
      </w:r>
    </w:p>
    <w:p w:rsidR="004B5D07" w:rsidRDefault="000A0E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итогам реализации федерального проекта </w:t>
      </w:r>
      <w:r w:rsidR="00332863">
        <w:rPr>
          <w:rFonts w:ascii="Times New Roman" w:hAnsi="Times New Roman" w:cs="Times New Roman"/>
          <w:sz w:val="24"/>
          <w:szCs w:val="24"/>
        </w:rPr>
        <w:t>«</w:t>
      </w:r>
      <w:r>
        <w:rPr>
          <w:rFonts w:ascii="Times New Roman" w:hAnsi="Times New Roman" w:cs="Times New Roman"/>
          <w:sz w:val="24"/>
          <w:szCs w:val="24"/>
        </w:rPr>
        <w:t>Промышленный экспорт</w:t>
      </w:r>
      <w:r w:rsidR="00332863">
        <w:rPr>
          <w:rFonts w:ascii="Times New Roman" w:hAnsi="Times New Roman" w:cs="Times New Roman"/>
          <w:sz w:val="24"/>
          <w:szCs w:val="24"/>
        </w:rPr>
        <w:t xml:space="preserve">», </w:t>
      </w:r>
      <w:r>
        <w:rPr>
          <w:rFonts w:ascii="Times New Roman" w:hAnsi="Times New Roman" w:cs="Times New Roman"/>
          <w:sz w:val="24"/>
          <w:szCs w:val="24"/>
        </w:rPr>
        <w:t>учитывая накопленную практику ряда субъектов РФ, выявлен ряд факторов в виде вызовов и барьеров, сдерживающих эффективное применение вышеназванного механизма государственной поддержки. Среди них</w:t>
      </w:r>
      <w:r w:rsidRPr="00C11F5B">
        <w:rPr>
          <w:rFonts w:ascii="Times New Roman" w:hAnsi="Times New Roman" w:cs="Times New Roman"/>
          <w:sz w:val="24"/>
          <w:szCs w:val="24"/>
        </w:rPr>
        <w:t>:</w:t>
      </w:r>
    </w:p>
    <w:p w:rsidR="00B252DF" w:rsidRDefault="00B252DF" w:rsidP="00B252D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B252DF">
        <w:rPr>
          <w:rFonts w:ascii="Times New Roman" w:hAnsi="Times New Roman" w:cs="Times New Roman"/>
          <w:sz w:val="24"/>
          <w:szCs w:val="24"/>
        </w:rPr>
        <w:t xml:space="preserve"> процессуальны</w:t>
      </w:r>
      <w:r>
        <w:rPr>
          <w:rFonts w:ascii="Times New Roman" w:hAnsi="Times New Roman" w:cs="Times New Roman"/>
          <w:sz w:val="24"/>
          <w:szCs w:val="24"/>
        </w:rPr>
        <w:t>е</w:t>
      </w:r>
      <w:r w:rsidRPr="00B252DF">
        <w:rPr>
          <w:rFonts w:ascii="Times New Roman" w:hAnsi="Times New Roman" w:cs="Times New Roman"/>
          <w:sz w:val="24"/>
          <w:szCs w:val="24"/>
        </w:rPr>
        <w:t xml:space="preserve"> и правовы</w:t>
      </w:r>
      <w:r>
        <w:rPr>
          <w:rFonts w:ascii="Times New Roman" w:hAnsi="Times New Roman" w:cs="Times New Roman"/>
          <w:sz w:val="24"/>
          <w:szCs w:val="24"/>
        </w:rPr>
        <w:t>е</w:t>
      </w:r>
      <w:r w:rsidRPr="00B252DF">
        <w:rPr>
          <w:rFonts w:ascii="Times New Roman" w:hAnsi="Times New Roman" w:cs="Times New Roman"/>
          <w:sz w:val="24"/>
          <w:szCs w:val="24"/>
        </w:rPr>
        <w:t xml:space="preserve"> барьер</w:t>
      </w:r>
      <w:r>
        <w:rPr>
          <w:rFonts w:ascii="Times New Roman" w:hAnsi="Times New Roman" w:cs="Times New Roman"/>
          <w:sz w:val="24"/>
          <w:szCs w:val="24"/>
        </w:rPr>
        <w:t>ы</w:t>
      </w:r>
      <w:r w:rsidRPr="00B252DF">
        <w:rPr>
          <w:rFonts w:ascii="Times New Roman" w:hAnsi="Times New Roman" w:cs="Times New Roman"/>
          <w:sz w:val="24"/>
          <w:szCs w:val="24"/>
        </w:rPr>
        <w:t>, препятствующи</w:t>
      </w:r>
      <w:r>
        <w:rPr>
          <w:rFonts w:ascii="Times New Roman" w:hAnsi="Times New Roman" w:cs="Times New Roman"/>
          <w:sz w:val="24"/>
          <w:szCs w:val="24"/>
        </w:rPr>
        <w:t>е</w:t>
      </w:r>
      <w:r w:rsidRPr="00B252DF">
        <w:rPr>
          <w:rFonts w:ascii="Times New Roman" w:hAnsi="Times New Roman" w:cs="Times New Roman"/>
          <w:sz w:val="24"/>
          <w:szCs w:val="24"/>
        </w:rPr>
        <w:t xml:space="preserve"> эффективной реализации механизма поддержки</w:t>
      </w:r>
      <w:r>
        <w:rPr>
          <w:rFonts w:ascii="Times New Roman" w:hAnsi="Times New Roman" w:cs="Times New Roman"/>
          <w:sz w:val="24"/>
          <w:szCs w:val="24"/>
        </w:rPr>
        <w:t>;</w:t>
      </w:r>
    </w:p>
    <w:p w:rsidR="00B252DF" w:rsidRDefault="00B252DF" w:rsidP="00B252D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w:t>
      </w:r>
      <w:r w:rsidRPr="00B252DF">
        <w:rPr>
          <w:rFonts w:ascii="Times New Roman" w:hAnsi="Times New Roman" w:cs="Times New Roman"/>
          <w:sz w:val="24"/>
          <w:szCs w:val="24"/>
        </w:rPr>
        <w:t>еадаптированность механизма под нужды получателей поддержки</w:t>
      </w:r>
      <w:r>
        <w:rPr>
          <w:rFonts w:ascii="Times New Roman" w:hAnsi="Times New Roman" w:cs="Times New Roman"/>
          <w:sz w:val="24"/>
          <w:szCs w:val="24"/>
        </w:rPr>
        <w:t>;</w:t>
      </w:r>
    </w:p>
    <w:p w:rsidR="0055184F" w:rsidRDefault="00B252DF" w:rsidP="0055184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Pr="00B252DF">
        <w:rPr>
          <w:rFonts w:ascii="Times New Roman" w:hAnsi="Times New Roman" w:cs="Times New Roman"/>
          <w:sz w:val="24"/>
          <w:szCs w:val="24"/>
        </w:rPr>
        <w:t>тсутствие оперативного автоматизированного взаимодействия между органами государственной власти и получателями поддержки</w:t>
      </w:r>
      <w:r w:rsidR="0055184F">
        <w:rPr>
          <w:rFonts w:ascii="Times New Roman" w:hAnsi="Times New Roman" w:cs="Times New Roman"/>
          <w:sz w:val="24"/>
          <w:szCs w:val="24"/>
        </w:rPr>
        <w:t>.</w:t>
      </w:r>
    </w:p>
    <w:p w:rsidR="004B5D07" w:rsidRDefault="000A0E31" w:rsidP="0055184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сегодняшний день соглашения о реализации КППК не заключены. При этом у ряда организаций, планирующих реализацию КППК, в </w:t>
      </w:r>
      <w:r w:rsidRPr="00C154E3">
        <w:rPr>
          <w:rFonts w:ascii="Times New Roman" w:hAnsi="Times New Roman" w:cs="Times New Roman"/>
          <w:sz w:val="24"/>
          <w:szCs w:val="24"/>
        </w:rPr>
        <w:t>указанной программе установлены показатели по финансированию и объему экспорта на 2019 год</w:t>
      </w:r>
      <w:r w:rsidR="007330B1" w:rsidRPr="00C154E3">
        <w:rPr>
          <w:rFonts w:ascii="Times New Roman" w:hAnsi="Times New Roman" w:cs="Times New Roman"/>
          <w:sz w:val="24"/>
          <w:szCs w:val="24"/>
        </w:rPr>
        <w:t>,</w:t>
      </w:r>
      <w:r w:rsidRPr="00C154E3">
        <w:rPr>
          <w:rFonts w:ascii="Times New Roman" w:hAnsi="Times New Roman" w:cs="Times New Roman"/>
          <w:sz w:val="24"/>
          <w:szCs w:val="24"/>
        </w:rPr>
        <w:t xml:space="preserve"> а процедура внесения изменений в соглашение и КППК не </w:t>
      </w:r>
      <w:r w:rsidR="007330B1" w:rsidRPr="00C154E3">
        <w:rPr>
          <w:rFonts w:ascii="Times New Roman" w:hAnsi="Times New Roman" w:cs="Times New Roman"/>
          <w:sz w:val="24"/>
          <w:szCs w:val="24"/>
        </w:rPr>
        <w:t>регламентирована.</w:t>
      </w:r>
    </w:p>
    <w:p w:rsidR="004B5D07" w:rsidRDefault="000A0E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Механизм поддержки неадаптирован под потребности производителей. Несовершенство правового регулирования рассматриваемого механизма государственной поддержки подтверждает и факт неоднократного (трижды) внесения изменений в постановление Правительства РФ от 23.02.2019 № 191. При этом вносимые изменения </w:t>
      </w:r>
      <w:r>
        <w:rPr>
          <w:rFonts w:ascii="Times New Roman" w:hAnsi="Times New Roman" w:cs="Times New Roman"/>
          <w:sz w:val="24"/>
          <w:szCs w:val="24"/>
        </w:rPr>
        <w:lastRenderedPageBreak/>
        <w:t xml:space="preserve">носили больше </w:t>
      </w:r>
      <w:r w:rsidR="007330B1">
        <w:rPr>
          <w:rFonts w:ascii="Times New Roman" w:hAnsi="Times New Roman" w:cs="Times New Roman"/>
          <w:sz w:val="24"/>
          <w:szCs w:val="24"/>
        </w:rPr>
        <w:t>«</w:t>
      </w:r>
      <w:r>
        <w:rPr>
          <w:rFonts w:ascii="Times New Roman" w:hAnsi="Times New Roman" w:cs="Times New Roman"/>
          <w:sz w:val="24"/>
          <w:szCs w:val="24"/>
        </w:rPr>
        <w:t>косметический</w:t>
      </w:r>
      <w:r w:rsidR="007330B1">
        <w:rPr>
          <w:rFonts w:ascii="Times New Roman" w:hAnsi="Times New Roman" w:cs="Times New Roman"/>
          <w:sz w:val="24"/>
          <w:szCs w:val="24"/>
        </w:rPr>
        <w:t xml:space="preserve">» </w:t>
      </w:r>
      <w:r>
        <w:rPr>
          <w:rFonts w:ascii="Times New Roman" w:hAnsi="Times New Roman" w:cs="Times New Roman"/>
          <w:sz w:val="24"/>
          <w:szCs w:val="24"/>
        </w:rPr>
        <w:t xml:space="preserve">характер и не способствовали востребованности указанного механизма поддержки со стороны бизнес-сообщества. </w:t>
      </w:r>
    </w:p>
    <w:p w:rsidR="007330B1" w:rsidRDefault="007330B1" w:rsidP="007330B1">
      <w:pPr>
        <w:spacing w:after="0" w:line="360" w:lineRule="auto"/>
        <w:ind w:firstLine="709"/>
        <w:jc w:val="both"/>
        <w:rPr>
          <w:rFonts w:ascii="Times New Roman" w:hAnsi="Times New Roman" w:cs="Times New Roman"/>
          <w:sz w:val="24"/>
          <w:szCs w:val="24"/>
        </w:rPr>
      </w:pPr>
      <w:r w:rsidRPr="00C154E3">
        <w:rPr>
          <w:rFonts w:ascii="Times New Roman" w:hAnsi="Times New Roman" w:cs="Times New Roman"/>
          <w:sz w:val="24"/>
          <w:szCs w:val="24"/>
        </w:rPr>
        <w:t>Выявлена низкая активности в подаче заявок на участие</w:t>
      </w:r>
      <w:r>
        <w:rPr>
          <w:rFonts w:ascii="Times New Roman" w:hAnsi="Times New Roman" w:cs="Times New Roman"/>
          <w:sz w:val="24"/>
          <w:szCs w:val="24"/>
        </w:rPr>
        <w:t xml:space="preserve"> в КППК со стороны многих субъектов федерации. Отсутствие активности в подаче заявок на участие в КППК наблюдалось со стороны Астраханской, Курской, Сахалинской, Тюменской и некоторых других областей. Зачастую предприятия в отбор привлеклись в режиме ручного управления. В числе наиболее активных регионов - Московская и Самарская области. В итоговый перечень, утвержденный межведомственной комиссией, были включены 711 заявок от компаний из 69 регионов. В их числе 69 заявок от производителей федерального значения (системообразующих) и 642 от предприятий регионального значения. </w:t>
      </w:r>
    </w:p>
    <w:p w:rsidR="004B5D07" w:rsidRDefault="000A0E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Требуется серьёзная доработка действующего механизма государственной поддержки. Без его совершенствования не будет достигнута эффективность самого проекта (цель). Рабочее понятие эффективности реализации федерального проекта «Промышленный экспорт» - это достижение объема экспорта (в стоимостном выражении) несырьевых неэнергетических промышленных товаров и объема экспорта промышленных услуг в размере 205 млрд. долларов США к концу 2024 года, в том числе продукции машиностроения – 60 млрд. долларов США в год, за счет развития международной конкурентоспособности промышленных предприятий, мотивации госкомпаний к повышению объема экспорта, реализации пакета отраслевых регуляторных мер. </w:t>
      </w:r>
    </w:p>
    <w:p w:rsidR="004B5D07" w:rsidRDefault="004B5D07">
      <w:pPr>
        <w:spacing w:after="0" w:line="360" w:lineRule="auto"/>
        <w:ind w:firstLine="709"/>
        <w:jc w:val="both"/>
        <w:rPr>
          <w:rFonts w:ascii="Times New Roman" w:hAnsi="Times New Roman" w:cs="Times New Roman"/>
          <w:sz w:val="24"/>
          <w:szCs w:val="24"/>
        </w:rPr>
      </w:pPr>
    </w:p>
    <w:p w:rsidR="004B5D07" w:rsidRDefault="000A0E31" w:rsidP="00672E05">
      <w:pPr>
        <w:pStyle w:val="41"/>
      </w:pPr>
      <w:r>
        <w:t xml:space="preserve">2. </w:t>
      </w:r>
      <w:r w:rsidR="00FE035C">
        <w:t>Кратко о</w:t>
      </w:r>
      <w:r>
        <w:t xml:space="preserve">писание предлагаемого решения по эффективности реализации федерального проекта </w:t>
      </w:r>
    </w:p>
    <w:p w:rsidR="002741EE" w:rsidRDefault="004F65D8" w:rsidP="002741EE">
      <w:pPr>
        <w:spacing w:after="0" w:line="360" w:lineRule="auto"/>
        <w:ind w:firstLine="709"/>
        <w:jc w:val="both"/>
        <w:rPr>
          <w:rFonts w:ascii="Times New Roman" w:hAnsi="Times New Roman" w:cs="Times New Roman"/>
          <w:sz w:val="24"/>
          <w:szCs w:val="24"/>
        </w:rPr>
      </w:pPr>
      <w:r w:rsidRPr="00C154E3">
        <w:rPr>
          <w:rFonts w:ascii="Times New Roman" w:hAnsi="Times New Roman" w:cs="Times New Roman"/>
          <w:sz w:val="24"/>
          <w:szCs w:val="24"/>
        </w:rPr>
        <w:t>Предлагаемое решение</w:t>
      </w:r>
      <w:r w:rsidR="00700B62">
        <w:rPr>
          <w:rFonts w:ascii="Times New Roman" w:hAnsi="Times New Roman" w:cs="Times New Roman"/>
          <w:sz w:val="24"/>
          <w:szCs w:val="24"/>
        </w:rPr>
        <w:t xml:space="preserve"> </w:t>
      </w:r>
      <w:r>
        <w:rPr>
          <w:rFonts w:ascii="Times New Roman" w:hAnsi="Times New Roman" w:cs="Times New Roman"/>
          <w:sz w:val="24"/>
          <w:szCs w:val="24"/>
        </w:rPr>
        <w:t xml:space="preserve">заключается </w:t>
      </w:r>
      <w:r w:rsidR="000A0E31">
        <w:rPr>
          <w:rFonts w:ascii="Times New Roman" w:hAnsi="Times New Roman" w:cs="Times New Roman"/>
          <w:sz w:val="24"/>
          <w:szCs w:val="24"/>
        </w:rPr>
        <w:t xml:space="preserve">в устранении процессуальных и правовых </w:t>
      </w:r>
      <w:r w:rsidR="00026AC8">
        <w:rPr>
          <w:rFonts w:ascii="Times New Roman" w:hAnsi="Times New Roman" w:cs="Times New Roman"/>
          <w:sz w:val="24"/>
          <w:szCs w:val="24"/>
        </w:rPr>
        <w:t xml:space="preserve">барьеров </w:t>
      </w:r>
      <w:r w:rsidR="000A0E31">
        <w:rPr>
          <w:rFonts w:ascii="Times New Roman" w:hAnsi="Times New Roman" w:cs="Times New Roman"/>
          <w:sz w:val="24"/>
          <w:szCs w:val="24"/>
        </w:rPr>
        <w:t>реализации механизма поддержки КППК, в целях достижения показателя ФП «Промышленный экспорт» - заключение 320 соглашений о поддержке КППК к 2024 году, путем повышения прозрачности и эффективности механизма поддержки.</w:t>
      </w:r>
      <w:r w:rsidR="00700B62">
        <w:rPr>
          <w:rFonts w:ascii="Times New Roman" w:hAnsi="Times New Roman" w:cs="Times New Roman"/>
          <w:sz w:val="24"/>
          <w:szCs w:val="24"/>
        </w:rPr>
        <w:t xml:space="preserve"> </w:t>
      </w:r>
      <w:r w:rsidR="002741EE">
        <w:rPr>
          <w:rFonts w:ascii="Times New Roman" w:hAnsi="Times New Roman" w:cs="Times New Roman"/>
          <w:sz w:val="24"/>
          <w:szCs w:val="24"/>
        </w:rPr>
        <w:t>Предлагаемое решение по эффективности можно представить иллюстративно:</w:t>
      </w:r>
    </w:p>
    <w:p w:rsidR="002741EE" w:rsidRDefault="002741E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Рис. 2 Предложение по эффективности</w:t>
      </w:r>
    </w:p>
    <w:p w:rsidR="004B5D07" w:rsidRDefault="002741EE" w:rsidP="002741EE">
      <w:pPr>
        <w:spacing w:after="0" w:line="360" w:lineRule="auto"/>
        <w:jc w:val="center"/>
        <w:rPr>
          <w:rFonts w:ascii="Times New Roman" w:hAnsi="Times New Roman" w:cs="Times New Roman"/>
          <w:sz w:val="24"/>
          <w:szCs w:val="24"/>
        </w:rPr>
      </w:pPr>
      <w:r>
        <w:rPr>
          <w:noProof/>
          <w:lang w:eastAsia="ru-RU"/>
        </w:rPr>
        <w:lastRenderedPageBreak/>
        <w:drawing>
          <wp:inline distT="0" distB="0" distL="0" distR="0">
            <wp:extent cx="5915025" cy="2263140"/>
            <wp:effectExtent l="0" t="0" r="952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449" t="18808" b="5373"/>
                    <a:stretch/>
                  </pic:blipFill>
                  <pic:spPr bwMode="auto">
                    <a:xfrm>
                      <a:off x="0" y="0"/>
                      <a:ext cx="5929790" cy="2268789"/>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24699" w:rsidRDefault="00124699" w:rsidP="002741EE">
      <w:pPr>
        <w:spacing w:after="0" w:line="360" w:lineRule="auto"/>
        <w:jc w:val="center"/>
        <w:rPr>
          <w:rFonts w:ascii="Times New Roman" w:hAnsi="Times New Roman" w:cs="Times New Roman"/>
          <w:sz w:val="24"/>
          <w:szCs w:val="24"/>
        </w:rPr>
      </w:pPr>
    </w:p>
    <w:p w:rsidR="004B5D07" w:rsidRDefault="000A0E31" w:rsidP="00672E05">
      <w:pPr>
        <w:pStyle w:val="41"/>
      </w:pPr>
      <w:r>
        <w:t>3. Проектное предложение (организационная и функциональная схема проекта, описание)</w:t>
      </w:r>
    </w:p>
    <w:p w:rsidR="0061271F" w:rsidRDefault="002741E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Задачи, необходимые в процессе реализации предлагаемого</w:t>
      </w:r>
      <w:r w:rsidR="000A0E31">
        <w:rPr>
          <w:rFonts w:ascii="Times New Roman" w:hAnsi="Times New Roman" w:cs="Times New Roman"/>
          <w:sz w:val="24"/>
          <w:szCs w:val="24"/>
        </w:rPr>
        <w:t xml:space="preserve"> в рамках проектной работы решени</w:t>
      </w:r>
      <w:r>
        <w:rPr>
          <w:rFonts w:ascii="Times New Roman" w:hAnsi="Times New Roman" w:cs="Times New Roman"/>
          <w:sz w:val="24"/>
          <w:szCs w:val="24"/>
        </w:rPr>
        <w:t xml:space="preserve">я </w:t>
      </w:r>
      <w:r w:rsidR="000A0E31">
        <w:rPr>
          <w:rFonts w:ascii="Times New Roman" w:hAnsi="Times New Roman" w:cs="Times New Roman"/>
          <w:sz w:val="24"/>
          <w:szCs w:val="24"/>
        </w:rPr>
        <w:t xml:space="preserve">можно для наглядности представить в виде </w:t>
      </w:r>
      <w:r>
        <w:rPr>
          <w:rFonts w:ascii="Times New Roman" w:hAnsi="Times New Roman" w:cs="Times New Roman"/>
          <w:sz w:val="24"/>
          <w:szCs w:val="24"/>
        </w:rPr>
        <w:t xml:space="preserve">следующей </w:t>
      </w:r>
      <w:r w:rsidR="000A0E31">
        <w:rPr>
          <w:rFonts w:ascii="Times New Roman" w:hAnsi="Times New Roman" w:cs="Times New Roman"/>
          <w:sz w:val="24"/>
          <w:szCs w:val="24"/>
        </w:rPr>
        <w:t>схемы</w:t>
      </w:r>
      <w:r w:rsidR="0061271F">
        <w:rPr>
          <w:rFonts w:ascii="Times New Roman" w:hAnsi="Times New Roman" w:cs="Times New Roman"/>
          <w:sz w:val="24"/>
          <w:szCs w:val="24"/>
        </w:rPr>
        <w:t>:</w:t>
      </w:r>
    </w:p>
    <w:p w:rsidR="004B5D07" w:rsidRDefault="0061271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Рис. </w:t>
      </w:r>
      <w:r w:rsidR="00185238">
        <w:rPr>
          <w:rFonts w:ascii="Times New Roman" w:hAnsi="Times New Roman" w:cs="Times New Roman"/>
          <w:sz w:val="24"/>
          <w:szCs w:val="24"/>
        </w:rPr>
        <w:t>3</w:t>
      </w:r>
      <w:r>
        <w:rPr>
          <w:rFonts w:ascii="Times New Roman" w:hAnsi="Times New Roman" w:cs="Times New Roman"/>
          <w:sz w:val="24"/>
          <w:szCs w:val="24"/>
        </w:rPr>
        <w:t xml:space="preserve"> Схема реализации проекта</w:t>
      </w:r>
    </w:p>
    <w:p w:rsidR="004B5D07" w:rsidRDefault="0061271F" w:rsidP="002741EE">
      <w:pPr>
        <w:spacing w:after="0" w:line="360" w:lineRule="auto"/>
        <w:jc w:val="center"/>
        <w:rPr>
          <w:rFonts w:ascii="Times New Roman" w:hAnsi="Times New Roman" w:cs="Times New Roman"/>
          <w:sz w:val="24"/>
          <w:szCs w:val="24"/>
        </w:rPr>
      </w:pPr>
      <w:r>
        <w:rPr>
          <w:noProof/>
          <w:lang w:eastAsia="ru-RU"/>
        </w:rPr>
        <w:drawing>
          <wp:inline distT="0" distB="0" distL="0" distR="0">
            <wp:extent cx="5843240" cy="3250068"/>
            <wp:effectExtent l="0" t="0" r="571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5434" t="22607" r="6687" b="10279"/>
                    <a:stretch/>
                  </pic:blipFill>
                  <pic:spPr bwMode="auto">
                    <a:xfrm>
                      <a:off x="0" y="0"/>
                      <a:ext cx="5862638" cy="3260857"/>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563F4" w:rsidRPr="009563F4" w:rsidRDefault="00272DBA" w:rsidP="009563F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Детальное описание задач п</w:t>
      </w:r>
      <w:r w:rsidRPr="009563F4">
        <w:rPr>
          <w:rFonts w:ascii="Times New Roman" w:hAnsi="Times New Roman" w:cs="Times New Roman"/>
          <w:sz w:val="24"/>
          <w:szCs w:val="24"/>
        </w:rPr>
        <w:t>роектног</w:t>
      </w:r>
      <w:r>
        <w:rPr>
          <w:rFonts w:ascii="Times New Roman" w:hAnsi="Times New Roman" w:cs="Times New Roman"/>
          <w:sz w:val="24"/>
          <w:szCs w:val="24"/>
        </w:rPr>
        <w:t>о</w:t>
      </w:r>
      <w:r w:rsidRPr="009563F4">
        <w:rPr>
          <w:rFonts w:ascii="Times New Roman" w:hAnsi="Times New Roman" w:cs="Times New Roman"/>
          <w:sz w:val="24"/>
          <w:szCs w:val="24"/>
        </w:rPr>
        <w:t xml:space="preserve"> предложени</w:t>
      </w:r>
      <w:r>
        <w:rPr>
          <w:rFonts w:ascii="Times New Roman" w:hAnsi="Times New Roman" w:cs="Times New Roman"/>
          <w:sz w:val="24"/>
          <w:szCs w:val="24"/>
        </w:rPr>
        <w:t>я:</w:t>
      </w:r>
    </w:p>
    <w:p w:rsidR="009563F4" w:rsidRPr="009563F4" w:rsidRDefault="009563F4" w:rsidP="009563F4">
      <w:pPr>
        <w:spacing w:after="0" w:line="360" w:lineRule="auto"/>
        <w:ind w:firstLine="709"/>
        <w:jc w:val="both"/>
        <w:rPr>
          <w:rFonts w:ascii="Times New Roman" w:hAnsi="Times New Roman" w:cs="Times New Roman"/>
          <w:sz w:val="24"/>
          <w:szCs w:val="24"/>
        </w:rPr>
      </w:pPr>
      <w:r w:rsidRPr="009563F4">
        <w:rPr>
          <w:rFonts w:ascii="Times New Roman" w:hAnsi="Times New Roman" w:cs="Times New Roman"/>
          <w:sz w:val="24"/>
          <w:szCs w:val="24"/>
        </w:rPr>
        <w:t xml:space="preserve">1. Внесение изменений в </w:t>
      </w:r>
      <w:r w:rsidRPr="009563F4">
        <w:rPr>
          <w:rFonts w:ascii="Times New Roman" w:hAnsi="Times New Roman" w:cs="Times New Roman"/>
          <w:sz w:val="24"/>
        </w:rPr>
        <w:t>Правила формирования и утверждения единого перечня организаций, реализующих корпоративные программы повышения конкурентоспособности, и заключения соглашений о реализации корпоративных программ повышения конкурентоспособности, утвержденные постановлением Правительства Российской Федерации № 191, (далее – Правила) в целях закрепления следующих положений:</w:t>
      </w:r>
    </w:p>
    <w:p w:rsidR="009563F4" w:rsidRPr="009563F4" w:rsidRDefault="009563F4" w:rsidP="009563F4">
      <w:pPr>
        <w:spacing w:after="0" w:line="360" w:lineRule="auto"/>
        <w:ind w:firstLine="709"/>
        <w:jc w:val="both"/>
        <w:rPr>
          <w:rFonts w:ascii="Times New Roman" w:hAnsi="Times New Roman" w:cs="Times New Roman"/>
          <w:sz w:val="24"/>
          <w:szCs w:val="24"/>
        </w:rPr>
      </w:pPr>
      <w:r w:rsidRPr="009563F4">
        <w:rPr>
          <w:rFonts w:ascii="Times New Roman" w:hAnsi="Times New Roman" w:cs="Times New Roman"/>
          <w:sz w:val="24"/>
          <w:szCs w:val="24"/>
        </w:rPr>
        <w:lastRenderedPageBreak/>
        <w:t>1.1 Ежегодное проведение квалификационного отбора производителей федерального и регионального значения.</w:t>
      </w:r>
    </w:p>
    <w:p w:rsidR="009563F4" w:rsidRPr="009563F4" w:rsidRDefault="009563F4" w:rsidP="009563F4">
      <w:pPr>
        <w:pStyle w:val="a3"/>
        <w:spacing w:after="0" w:line="360" w:lineRule="auto"/>
        <w:ind w:left="0" w:firstLine="709"/>
        <w:jc w:val="both"/>
        <w:rPr>
          <w:rFonts w:ascii="Times New Roman" w:hAnsi="Times New Roman" w:cs="Times New Roman"/>
          <w:sz w:val="24"/>
          <w:szCs w:val="24"/>
        </w:rPr>
      </w:pPr>
      <w:r w:rsidRPr="009563F4">
        <w:rPr>
          <w:rFonts w:ascii="Times New Roman" w:hAnsi="Times New Roman" w:cs="Times New Roman"/>
          <w:sz w:val="24"/>
          <w:szCs w:val="24"/>
        </w:rPr>
        <w:t xml:space="preserve">Действующая редакция </w:t>
      </w:r>
      <w:r w:rsidRPr="009563F4">
        <w:rPr>
          <w:rFonts w:ascii="Times New Roman" w:hAnsi="Times New Roman" w:cs="Times New Roman"/>
          <w:sz w:val="24"/>
        </w:rPr>
        <w:t xml:space="preserve">Правил формирования и утверждения единого перечня организаций, реализующих корпоративные программы повышения конкурентоспособности, и заключения соглашений о реализации корпоративных программ повышения конкурентоспособности, утвержденных постановлением Правительства Российской Федерации № 191, (далее – Правила) предусматривает однократное </w:t>
      </w:r>
      <w:r w:rsidRPr="009563F4">
        <w:rPr>
          <w:rFonts w:ascii="Times New Roman" w:hAnsi="Times New Roman" w:cs="Times New Roman"/>
          <w:sz w:val="24"/>
          <w:szCs w:val="24"/>
        </w:rPr>
        <w:t>проведение квалификационного отбора производителей федерального и регионального значения в 2019 году.</w:t>
      </w:r>
    </w:p>
    <w:p w:rsidR="009563F4" w:rsidRPr="009563F4" w:rsidRDefault="009563F4" w:rsidP="009563F4">
      <w:pPr>
        <w:pStyle w:val="a3"/>
        <w:spacing w:after="0" w:line="360" w:lineRule="auto"/>
        <w:ind w:left="0" w:firstLine="709"/>
        <w:jc w:val="both"/>
        <w:rPr>
          <w:rFonts w:ascii="Times New Roman" w:hAnsi="Times New Roman" w:cs="Times New Roman"/>
          <w:sz w:val="24"/>
          <w:szCs w:val="24"/>
        </w:rPr>
      </w:pPr>
      <w:r w:rsidRPr="009563F4">
        <w:rPr>
          <w:rFonts w:ascii="Times New Roman" w:hAnsi="Times New Roman" w:cs="Times New Roman"/>
          <w:sz w:val="24"/>
          <w:szCs w:val="24"/>
        </w:rPr>
        <w:t>Введение ежегодного отбора, на наш взгляд, будет преследовать две цели, не только цель увеличения объема экспорта, но и не менее значимую - увеличение количества самих экспортеров. При этом, на наш взгляд, реализация именно второй цели является наиболее значимой в долгосрочной перспективе развития экспорта, учитывая, что развитие экспорта как одного из главных инструментов развития экономики, останется ключевой целью и после реализации нацпроектов. Кроме того, учитывая, что 2019 год является годом апробации механизма господдержки КППК, отбор 2020 и последующих годов может иметь больший экономический эффект.</w:t>
      </w:r>
    </w:p>
    <w:p w:rsidR="009563F4" w:rsidRPr="009563F4" w:rsidRDefault="009563F4" w:rsidP="009563F4">
      <w:pPr>
        <w:pStyle w:val="a3"/>
        <w:spacing w:after="0" w:line="360" w:lineRule="auto"/>
        <w:ind w:left="0" w:firstLine="709"/>
        <w:jc w:val="both"/>
        <w:rPr>
          <w:rFonts w:ascii="Times New Roman" w:hAnsi="Times New Roman" w:cs="Times New Roman"/>
          <w:sz w:val="24"/>
          <w:szCs w:val="24"/>
        </w:rPr>
      </w:pPr>
      <w:r w:rsidRPr="009563F4">
        <w:rPr>
          <w:rFonts w:ascii="Times New Roman" w:hAnsi="Times New Roman" w:cs="Times New Roman"/>
          <w:sz w:val="24"/>
          <w:szCs w:val="24"/>
        </w:rPr>
        <w:t>1.2 Сокращение срока сбора заявок в рамках квалификационного отбора производителей федерального и регионального значения с 76 до 30 календарных дней за счет размещения информации и направления производителям уведомления о проведении квалификационного отбора в срок не позднее 45 календарных дней до даты начала квалификационного отбора. Что позволит организации осуществить подготовительный этап.</w:t>
      </w:r>
    </w:p>
    <w:p w:rsidR="009563F4" w:rsidRPr="009563F4" w:rsidRDefault="009563F4" w:rsidP="009563F4">
      <w:pPr>
        <w:pStyle w:val="a3"/>
        <w:spacing w:after="0" w:line="360" w:lineRule="auto"/>
        <w:ind w:left="0" w:firstLine="709"/>
        <w:jc w:val="both"/>
        <w:rPr>
          <w:rFonts w:ascii="Times New Roman" w:hAnsi="Times New Roman" w:cs="Times New Roman"/>
          <w:sz w:val="24"/>
          <w:szCs w:val="24"/>
        </w:rPr>
      </w:pPr>
      <w:r w:rsidRPr="009563F4">
        <w:rPr>
          <w:rFonts w:ascii="Times New Roman" w:hAnsi="Times New Roman" w:cs="Times New Roman"/>
          <w:sz w:val="24"/>
          <w:szCs w:val="24"/>
        </w:rPr>
        <w:t xml:space="preserve">Согласно действующей редакции </w:t>
      </w:r>
      <w:r w:rsidRPr="009563F4">
        <w:rPr>
          <w:rFonts w:ascii="Times New Roman" w:hAnsi="Times New Roman" w:cs="Times New Roman"/>
          <w:sz w:val="24"/>
        </w:rPr>
        <w:t xml:space="preserve">Правил срок административной процедуры по подаче заявок </w:t>
      </w:r>
      <w:r w:rsidRPr="009563F4">
        <w:rPr>
          <w:rFonts w:ascii="Times New Roman" w:hAnsi="Times New Roman" w:cs="Times New Roman"/>
          <w:sz w:val="24"/>
          <w:szCs w:val="24"/>
        </w:rPr>
        <w:t>на участие в квалификационном отборе производителей федерального и регионального значения в Минпромторг России и уполномоченный орган исполнительной власти субъекта Российской Федерации соответственно составляет 76 календарных дней, что в рамках сложившейся практики является необоснованно завышенным по продолжительности сроком реализации указанной административной процедуры.</w:t>
      </w:r>
    </w:p>
    <w:p w:rsidR="009563F4" w:rsidRPr="009563F4" w:rsidRDefault="009563F4" w:rsidP="009563F4">
      <w:pPr>
        <w:pStyle w:val="a3"/>
        <w:spacing w:after="0" w:line="360" w:lineRule="auto"/>
        <w:ind w:left="0" w:firstLine="709"/>
        <w:jc w:val="both"/>
        <w:rPr>
          <w:rFonts w:ascii="Times New Roman" w:hAnsi="Times New Roman" w:cs="Times New Roman"/>
          <w:sz w:val="24"/>
          <w:szCs w:val="24"/>
        </w:rPr>
      </w:pPr>
      <w:r w:rsidRPr="009563F4">
        <w:rPr>
          <w:rFonts w:ascii="Times New Roman" w:hAnsi="Times New Roman" w:cs="Times New Roman"/>
          <w:sz w:val="24"/>
          <w:szCs w:val="24"/>
        </w:rPr>
        <w:t>Практика применения механизма доказывает необходимость сокращение указанных сроков, учитывая, что в настоящий момент не заключено ни одного соглашения между производителем и Минпромторгом России, при этом в КППК отобранных организаций содержатся показатели на 2019 год. Таким образом, на наш взгляд, процедура заключения соглашений между Минпромторгом России и экспортерами, должна быть осуществлена в первом полугодии финансового года.</w:t>
      </w:r>
    </w:p>
    <w:p w:rsidR="009563F4" w:rsidRPr="009563F4" w:rsidRDefault="009563F4" w:rsidP="009563F4">
      <w:pPr>
        <w:pStyle w:val="a3"/>
        <w:spacing w:after="0" w:line="360" w:lineRule="auto"/>
        <w:ind w:left="0" w:firstLine="709"/>
        <w:jc w:val="both"/>
        <w:rPr>
          <w:rFonts w:ascii="Times New Roman" w:hAnsi="Times New Roman" w:cs="Times New Roman"/>
          <w:sz w:val="24"/>
          <w:szCs w:val="24"/>
        </w:rPr>
      </w:pPr>
      <w:r w:rsidRPr="009563F4">
        <w:rPr>
          <w:rFonts w:ascii="Times New Roman" w:hAnsi="Times New Roman" w:cs="Times New Roman"/>
          <w:sz w:val="24"/>
          <w:szCs w:val="24"/>
        </w:rPr>
        <w:lastRenderedPageBreak/>
        <w:t>1.3. Сокращение сроков регистрации заявок и проверки соответствия организаций требованиям Правил с 30 календарных дней после окончания срока подачи заявок на участие в квалификационном отборе до 15, за счет обеспечения технической возможности подачи документов на отбор посредством государственной информационной системы промышленности (далее – ГИСП).</w:t>
      </w:r>
    </w:p>
    <w:p w:rsidR="009563F4" w:rsidRPr="009563F4" w:rsidRDefault="009563F4" w:rsidP="009563F4">
      <w:pPr>
        <w:pStyle w:val="a3"/>
        <w:spacing w:after="0" w:line="360" w:lineRule="auto"/>
        <w:ind w:left="0" w:firstLine="709"/>
        <w:jc w:val="both"/>
        <w:rPr>
          <w:rFonts w:ascii="Times New Roman" w:hAnsi="Times New Roman" w:cs="Times New Roman"/>
          <w:sz w:val="24"/>
          <w:szCs w:val="24"/>
        </w:rPr>
      </w:pPr>
      <w:r w:rsidRPr="009563F4">
        <w:rPr>
          <w:rFonts w:ascii="Times New Roman" w:hAnsi="Times New Roman" w:cs="Times New Roman"/>
          <w:sz w:val="24"/>
          <w:szCs w:val="24"/>
        </w:rPr>
        <w:t>1.4. Сокращение срока направления уполномоченными региональными органами власти в Минпромторг России регионального перечня организаций, реализующих КППК, с 10 до 5 календарных дней.</w:t>
      </w:r>
    </w:p>
    <w:p w:rsidR="009563F4" w:rsidRPr="009563F4" w:rsidRDefault="009563F4" w:rsidP="009563F4">
      <w:pPr>
        <w:pStyle w:val="a3"/>
        <w:spacing w:after="0" w:line="360" w:lineRule="auto"/>
        <w:ind w:left="0" w:firstLine="709"/>
        <w:jc w:val="both"/>
        <w:rPr>
          <w:rFonts w:ascii="Times New Roman" w:hAnsi="Times New Roman" w:cs="Times New Roman"/>
          <w:sz w:val="24"/>
          <w:szCs w:val="24"/>
        </w:rPr>
      </w:pPr>
      <w:r w:rsidRPr="009563F4">
        <w:rPr>
          <w:rFonts w:ascii="Times New Roman" w:hAnsi="Times New Roman" w:cs="Times New Roman"/>
          <w:sz w:val="24"/>
          <w:szCs w:val="24"/>
        </w:rPr>
        <w:t>1.5. Сокращение срока формирования единого перечня организаций, реализующих КППК, и его официального опубликования с 23 календарных дней до 10, за счет автоматизации выгрузки в системе ГИСП, а также исключения из процедуры межведомственной комиссии, которая по сути повторно проводит проверку документов, осуществленную уполномоченными органами и Минпромторгом России.</w:t>
      </w:r>
    </w:p>
    <w:p w:rsidR="009563F4" w:rsidRPr="009563F4" w:rsidRDefault="009563F4" w:rsidP="009563F4">
      <w:pPr>
        <w:pStyle w:val="a3"/>
        <w:spacing w:after="0" w:line="360" w:lineRule="auto"/>
        <w:ind w:left="0" w:firstLine="709"/>
        <w:jc w:val="both"/>
        <w:rPr>
          <w:rFonts w:ascii="Times New Roman" w:hAnsi="Times New Roman" w:cs="Times New Roman"/>
          <w:sz w:val="24"/>
          <w:szCs w:val="24"/>
        </w:rPr>
      </w:pPr>
      <w:r w:rsidRPr="009563F4">
        <w:rPr>
          <w:rFonts w:ascii="Times New Roman" w:hAnsi="Times New Roman" w:cs="Times New Roman"/>
          <w:sz w:val="24"/>
          <w:szCs w:val="24"/>
        </w:rPr>
        <w:t>1.6. Сокращение сроков процедуры заключения соглашения о реализации КППК с 40 календарных дней до 10, за счет внесения всех необходимых документов в период отбора в ГИСП, в том числе заявления о заключении соглашения. Минпромторгу России после опубликования единого перечня организаций, реализующих КППК, останется лишь подписать с организациями соглашения.</w:t>
      </w:r>
    </w:p>
    <w:p w:rsidR="009563F4" w:rsidRPr="009563F4" w:rsidRDefault="009563F4" w:rsidP="009563F4">
      <w:pPr>
        <w:pStyle w:val="a3"/>
        <w:spacing w:after="0" w:line="360" w:lineRule="auto"/>
        <w:ind w:left="0" w:firstLine="709"/>
        <w:jc w:val="both"/>
        <w:rPr>
          <w:rFonts w:ascii="Times New Roman" w:hAnsi="Times New Roman" w:cs="Times New Roman"/>
          <w:b/>
          <w:sz w:val="24"/>
          <w:szCs w:val="24"/>
        </w:rPr>
      </w:pPr>
      <w:r w:rsidRPr="009563F4">
        <w:rPr>
          <w:rFonts w:ascii="Times New Roman" w:hAnsi="Times New Roman" w:cs="Times New Roman"/>
          <w:b/>
          <w:sz w:val="24"/>
          <w:szCs w:val="24"/>
        </w:rPr>
        <w:t>Итого по пунктам 1.2-1.6: сроки со дня объявления квалификационного отбора до дня заключения соглашения сократятся со 179 до 70 календарных дней!!!</w:t>
      </w:r>
    </w:p>
    <w:p w:rsidR="009563F4" w:rsidRPr="009563F4" w:rsidRDefault="009563F4" w:rsidP="009563F4">
      <w:pPr>
        <w:pStyle w:val="a3"/>
        <w:spacing w:after="0" w:line="360" w:lineRule="auto"/>
        <w:ind w:left="0" w:firstLine="709"/>
        <w:jc w:val="both"/>
        <w:rPr>
          <w:rFonts w:ascii="Times New Roman" w:hAnsi="Times New Roman" w:cs="Times New Roman"/>
          <w:sz w:val="24"/>
          <w:szCs w:val="24"/>
        </w:rPr>
      </w:pPr>
      <w:r w:rsidRPr="009563F4">
        <w:rPr>
          <w:rFonts w:ascii="Times New Roman" w:hAnsi="Times New Roman" w:cs="Times New Roman"/>
          <w:sz w:val="24"/>
          <w:szCs w:val="24"/>
        </w:rPr>
        <w:t>Кроме того, предлагаем:</w:t>
      </w:r>
    </w:p>
    <w:p w:rsidR="009563F4" w:rsidRPr="009563F4" w:rsidRDefault="009563F4" w:rsidP="009563F4">
      <w:pPr>
        <w:pStyle w:val="a3"/>
        <w:spacing w:after="0" w:line="360" w:lineRule="auto"/>
        <w:ind w:left="0" w:firstLine="709"/>
        <w:jc w:val="both"/>
        <w:rPr>
          <w:rFonts w:ascii="Times New Roman" w:hAnsi="Times New Roman" w:cs="Times New Roman"/>
          <w:sz w:val="24"/>
          <w:szCs w:val="24"/>
        </w:rPr>
      </w:pPr>
      <w:r w:rsidRPr="009563F4">
        <w:rPr>
          <w:rFonts w:ascii="Times New Roman" w:hAnsi="Times New Roman" w:cs="Times New Roman"/>
          <w:sz w:val="24"/>
          <w:szCs w:val="24"/>
        </w:rPr>
        <w:t xml:space="preserve">1.7. Исключение из перечня предоставляемых на квалификационный отбор документов заключения о подтверждении производства продукции на территории России, в связи с тем, что данный документ выдает Минпромторг России и реестр выданных заключений находится в отрытом доступе в сети интернет по адресу: </w:t>
      </w:r>
      <w:hyperlink r:id="rId11" w:history="1">
        <w:r w:rsidRPr="009563F4">
          <w:rPr>
            <w:rStyle w:val="af9"/>
            <w:rFonts w:ascii="Times New Roman" w:hAnsi="Times New Roman" w:cs="Times New Roman"/>
            <w:sz w:val="24"/>
            <w:szCs w:val="24"/>
          </w:rPr>
          <w:t>http://minpromtorg.gov.ru/activities/vgpp/vgpp1/list</w:t>
        </w:r>
      </w:hyperlink>
      <w:r w:rsidRPr="009563F4">
        <w:rPr>
          <w:rFonts w:ascii="Times New Roman" w:hAnsi="Times New Roman" w:cs="Times New Roman"/>
          <w:sz w:val="24"/>
          <w:szCs w:val="24"/>
        </w:rPr>
        <w:t>.</w:t>
      </w:r>
    </w:p>
    <w:p w:rsidR="009563F4" w:rsidRPr="009563F4" w:rsidRDefault="009563F4" w:rsidP="009563F4">
      <w:pPr>
        <w:pStyle w:val="a3"/>
        <w:spacing w:after="0" w:line="360" w:lineRule="auto"/>
        <w:ind w:left="0" w:firstLine="709"/>
        <w:jc w:val="both"/>
        <w:rPr>
          <w:rFonts w:ascii="Times New Roman" w:hAnsi="Times New Roman" w:cs="Times New Roman"/>
          <w:sz w:val="24"/>
          <w:szCs w:val="24"/>
        </w:rPr>
      </w:pPr>
      <w:r w:rsidRPr="009563F4">
        <w:rPr>
          <w:rFonts w:ascii="Times New Roman" w:hAnsi="Times New Roman" w:cs="Times New Roman"/>
          <w:sz w:val="24"/>
          <w:szCs w:val="24"/>
        </w:rPr>
        <w:t xml:space="preserve">1.8. Формализация документов, подаваемых производителями федерального и регионального значения для участия в квалификационном отборе в соответствии с </w:t>
      </w:r>
      <w:r w:rsidRPr="009563F4">
        <w:rPr>
          <w:rFonts w:ascii="Times New Roman" w:hAnsi="Times New Roman" w:cs="Times New Roman"/>
          <w:sz w:val="24"/>
        </w:rPr>
        <w:t xml:space="preserve">Правилами </w:t>
      </w:r>
      <w:r w:rsidRPr="009563F4">
        <w:rPr>
          <w:rFonts w:ascii="Times New Roman" w:hAnsi="Times New Roman" w:cs="Times New Roman"/>
          <w:sz w:val="24"/>
          <w:szCs w:val="24"/>
        </w:rPr>
        <w:t>(на основании практики работы регионов).</w:t>
      </w:r>
    </w:p>
    <w:p w:rsidR="009563F4" w:rsidRPr="009563F4" w:rsidRDefault="009563F4" w:rsidP="009563F4">
      <w:pPr>
        <w:pStyle w:val="a3"/>
        <w:spacing w:after="0" w:line="360" w:lineRule="auto"/>
        <w:ind w:left="0" w:firstLine="709"/>
        <w:jc w:val="both"/>
        <w:rPr>
          <w:rFonts w:ascii="Times New Roman" w:hAnsi="Times New Roman" w:cs="Times New Roman"/>
          <w:sz w:val="24"/>
          <w:szCs w:val="24"/>
        </w:rPr>
      </w:pPr>
      <w:r w:rsidRPr="009563F4">
        <w:rPr>
          <w:rFonts w:ascii="Times New Roman" w:hAnsi="Times New Roman" w:cs="Times New Roman"/>
          <w:sz w:val="24"/>
          <w:szCs w:val="24"/>
        </w:rPr>
        <w:t xml:space="preserve">Практика работы регионов по данному направлению показала, что отсутствие утвержденных форм ряда документов, необходимых для участия в квалификационном отборе производителей федерального и регионального значения (заявление о включении в единый перечень организаций, реализующих КППК; справка о соответствии организации требованиям квалификационного отбора; обязательство по предоставлению заключения о подтверждении производства продукции, заявление на заключение соглашения), </w:t>
      </w:r>
      <w:r w:rsidRPr="009563F4">
        <w:rPr>
          <w:rFonts w:ascii="Times New Roman" w:hAnsi="Times New Roman" w:cs="Times New Roman"/>
          <w:sz w:val="24"/>
          <w:szCs w:val="24"/>
        </w:rPr>
        <w:lastRenderedPageBreak/>
        <w:t>увеличивает вероятность совершения технических ошибок при заполнении организацией указанных документов, что послужит основанием для отказа во включении организации в проект единого перечня организаций, реализующих КППК, в связи с несоответствием представленных документов установленным требованиям.</w:t>
      </w:r>
    </w:p>
    <w:p w:rsidR="009563F4" w:rsidRPr="009563F4" w:rsidRDefault="009563F4" w:rsidP="009563F4">
      <w:pPr>
        <w:pStyle w:val="a3"/>
        <w:spacing w:after="0" w:line="360" w:lineRule="auto"/>
        <w:ind w:left="0" w:firstLine="709"/>
        <w:jc w:val="both"/>
        <w:rPr>
          <w:rFonts w:ascii="Times New Roman" w:hAnsi="Times New Roman" w:cs="Times New Roman"/>
          <w:sz w:val="24"/>
          <w:szCs w:val="24"/>
        </w:rPr>
      </w:pPr>
      <w:r w:rsidRPr="009563F4">
        <w:rPr>
          <w:rFonts w:ascii="Times New Roman" w:hAnsi="Times New Roman" w:cs="Times New Roman"/>
          <w:sz w:val="24"/>
          <w:szCs w:val="24"/>
        </w:rPr>
        <w:t>1.9</w:t>
      </w:r>
      <w:r w:rsidR="00C94785">
        <w:rPr>
          <w:rFonts w:ascii="Times New Roman" w:hAnsi="Times New Roman" w:cs="Times New Roman"/>
          <w:sz w:val="24"/>
          <w:szCs w:val="24"/>
        </w:rPr>
        <w:t>.</w:t>
      </w:r>
      <w:r w:rsidRPr="009563F4">
        <w:rPr>
          <w:rFonts w:ascii="Times New Roman" w:hAnsi="Times New Roman" w:cs="Times New Roman"/>
          <w:sz w:val="24"/>
          <w:szCs w:val="24"/>
        </w:rPr>
        <w:t xml:space="preserve"> Подробная регламентация процедур заключения и внесения изменений в соглашения о реализации КППК в </w:t>
      </w:r>
      <w:r w:rsidRPr="009563F4">
        <w:rPr>
          <w:rFonts w:ascii="Times New Roman" w:hAnsi="Times New Roman" w:cs="Times New Roman"/>
          <w:sz w:val="24"/>
        </w:rPr>
        <w:t>Правилах.</w:t>
      </w:r>
    </w:p>
    <w:p w:rsidR="009563F4" w:rsidRPr="009563F4" w:rsidRDefault="009563F4" w:rsidP="009563F4">
      <w:pPr>
        <w:pStyle w:val="a3"/>
        <w:spacing w:after="0" w:line="360" w:lineRule="auto"/>
        <w:ind w:left="0" w:firstLine="709"/>
        <w:jc w:val="both"/>
        <w:rPr>
          <w:rFonts w:ascii="Times New Roman" w:hAnsi="Times New Roman" w:cs="Times New Roman"/>
          <w:sz w:val="24"/>
        </w:rPr>
      </w:pPr>
      <w:r w:rsidRPr="009563F4">
        <w:rPr>
          <w:rFonts w:ascii="Times New Roman" w:hAnsi="Times New Roman" w:cs="Times New Roman"/>
          <w:sz w:val="24"/>
          <w:szCs w:val="24"/>
        </w:rPr>
        <w:t>В настоящее время в связи с отсутствием подробной процедуры заключения соглашений о реализации КППК, а также отсутствием подробной процедуры внесения изменений в заключенные соглашения в П</w:t>
      </w:r>
      <w:r w:rsidRPr="009563F4">
        <w:rPr>
          <w:rFonts w:ascii="Times New Roman" w:hAnsi="Times New Roman" w:cs="Times New Roman"/>
          <w:sz w:val="24"/>
        </w:rPr>
        <w:t xml:space="preserve">равилах возник риск срыва сроков ключевой контрольной точки федерального проекта (своевременное получение организациями государственной поддержки в виде льготных экспортных кредитов), что впоследствии может повлечь за собой риски </w:t>
      </w:r>
      <w:r w:rsidRPr="00C94785">
        <w:rPr>
          <w:rFonts w:ascii="Times New Roman" w:hAnsi="Times New Roman" w:cs="Times New Roman"/>
          <w:sz w:val="24"/>
        </w:rPr>
        <w:t xml:space="preserve">неосвоения федеральных бюджетных средств </w:t>
      </w:r>
      <w:r w:rsidRPr="009563F4">
        <w:rPr>
          <w:rFonts w:ascii="Times New Roman" w:hAnsi="Times New Roman" w:cs="Times New Roman"/>
          <w:sz w:val="24"/>
        </w:rPr>
        <w:t>и недостижения целевых показателей федерального проекта.</w:t>
      </w:r>
    </w:p>
    <w:p w:rsidR="009563F4" w:rsidRPr="009563F4" w:rsidRDefault="009563F4" w:rsidP="009563F4">
      <w:pPr>
        <w:pStyle w:val="a3"/>
        <w:spacing w:after="0" w:line="360" w:lineRule="auto"/>
        <w:ind w:left="0" w:firstLine="709"/>
        <w:jc w:val="both"/>
        <w:rPr>
          <w:rFonts w:ascii="Times New Roman" w:hAnsi="Times New Roman" w:cs="Times New Roman"/>
          <w:sz w:val="24"/>
        </w:rPr>
      </w:pPr>
      <w:r w:rsidRPr="009563F4">
        <w:rPr>
          <w:rFonts w:ascii="Times New Roman" w:hAnsi="Times New Roman" w:cs="Times New Roman"/>
          <w:sz w:val="24"/>
        </w:rPr>
        <w:t>Отсутствие в нормативном правовом акте прямого указания на процедуру изменения, может быть воспринято как со стороны представителей госорганов, так и со стороны производителей, отсутствием такой возможности . При этом учитывая длительность реализации КППК, наличие определенных рисков и обстоятельств, способных по независящим от производителя причинам повлиять на показатели КППК, возможность внесения изменений в КППК просто необходимость, обусловленная спецификой ведения внешнеэкономической деятельности. Указанная возможность позволит сделать механизм гибким и адаптированным под конъюнктуру рынка. При этом в целях избегания злоупотреблений и принятия необоснованных решений со стороны участников программы предлагаем предусмотреть порядок внесения изменений в соглашение, предусматривающий основания и порядок принятия (или отказа в принятии) таких решений и конкретные сроки.</w:t>
      </w:r>
    </w:p>
    <w:p w:rsidR="009563F4" w:rsidRPr="009563F4" w:rsidRDefault="009563F4" w:rsidP="009563F4">
      <w:pPr>
        <w:pStyle w:val="a3"/>
        <w:spacing w:after="0" w:line="360" w:lineRule="auto"/>
        <w:ind w:left="0" w:firstLine="709"/>
        <w:jc w:val="both"/>
        <w:rPr>
          <w:rFonts w:ascii="Times New Roman" w:hAnsi="Times New Roman" w:cs="Times New Roman"/>
          <w:sz w:val="24"/>
          <w:szCs w:val="24"/>
        </w:rPr>
      </w:pPr>
      <w:r w:rsidRPr="009563F4">
        <w:rPr>
          <w:rFonts w:ascii="Times New Roman" w:hAnsi="Times New Roman" w:cs="Times New Roman"/>
          <w:sz w:val="24"/>
        </w:rPr>
        <w:t>1.10</w:t>
      </w:r>
      <w:r w:rsidR="00C94785">
        <w:rPr>
          <w:rFonts w:ascii="Times New Roman" w:hAnsi="Times New Roman" w:cs="Times New Roman"/>
          <w:sz w:val="24"/>
        </w:rPr>
        <w:t>.</w:t>
      </w:r>
      <w:r w:rsidR="00895420">
        <w:rPr>
          <w:rFonts w:ascii="Times New Roman" w:hAnsi="Times New Roman" w:cs="Times New Roman"/>
          <w:sz w:val="24"/>
        </w:rPr>
        <w:t xml:space="preserve"> </w:t>
      </w:r>
      <w:r w:rsidRPr="009563F4">
        <w:rPr>
          <w:rFonts w:ascii="Times New Roman" w:hAnsi="Times New Roman" w:cs="Times New Roman"/>
          <w:sz w:val="24"/>
          <w:szCs w:val="24"/>
        </w:rPr>
        <w:t>Обеспечение дальнейшего участия регионов, предприятия которых вошли в единый перечень организаций, реализующих КППК, в федеральном проекте (в части мониторинга исполнения соглашений о реализации КППК) посредством предоставления доступа к отчетности организаций о выполнении соглашений о реализации КППК через государственную информационную систему «Промышленность» (ГИСП).</w:t>
      </w:r>
    </w:p>
    <w:p w:rsidR="009563F4" w:rsidRPr="009563F4" w:rsidRDefault="009563F4" w:rsidP="009563F4">
      <w:pPr>
        <w:pStyle w:val="a3"/>
        <w:spacing w:after="0" w:line="360" w:lineRule="auto"/>
        <w:ind w:left="0" w:firstLine="709"/>
        <w:jc w:val="both"/>
        <w:rPr>
          <w:rFonts w:ascii="Times New Roman" w:hAnsi="Times New Roman" w:cs="Times New Roman"/>
          <w:sz w:val="24"/>
        </w:rPr>
      </w:pPr>
      <w:r w:rsidRPr="009563F4">
        <w:rPr>
          <w:rFonts w:ascii="Times New Roman" w:hAnsi="Times New Roman" w:cs="Times New Roman"/>
          <w:sz w:val="24"/>
          <w:szCs w:val="24"/>
        </w:rPr>
        <w:t xml:space="preserve">В настоящее время в соответствии с действующей редакцией </w:t>
      </w:r>
      <w:r w:rsidRPr="009563F4">
        <w:rPr>
          <w:rFonts w:ascii="Times New Roman" w:hAnsi="Times New Roman" w:cs="Times New Roman"/>
          <w:sz w:val="24"/>
        </w:rPr>
        <w:t xml:space="preserve">постановления № 191 после проведения квалификационного отбора и направления регионального перечня организаций, реализующих КППК, субъекты Российской Федерации полностью отстранены от дальнейшего участия в федеральном проекте в части реализации КППК, что видится нецелесообразным с точки зрения наличия возможностей региональных </w:t>
      </w:r>
      <w:r w:rsidRPr="009563F4">
        <w:rPr>
          <w:rFonts w:ascii="Times New Roman" w:hAnsi="Times New Roman" w:cs="Times New Roman"/>
          <w:sz w:val="24"/>
        </w:rPr>
        <w:lastRenderedPageBreak/>
        <w:t>властей оказывать более оперативное влияние на выполнение организациями показателей КППК и обнаружение различных рисков неисполнения соглашения с Минпромторгом России. Участие региональных органов власти в мониторинге реализации КППК, на наш взгляд, будет способствовать минимизации рисков недостижения показателей КППК, учитывая административный ресурс указанных органов. Кроме того, региональные органы власти являются не менее замотивированным участником федерального проекта, ведь за ними планируется закрепить показатели по объему экспорта.</w:t>
      </w:r>
    </w:p>
    <w:p w:rsidR="009563F4" w:rsidRPr="009563F4" w:rsidRDefault="009563F4" w:rsidP="009563F4">
      <w:pPr>
        <w:pStyle w:val="a3"/>
        <w:spacing w:after="0" w:line="360" w:lineRule="auto"/>
        <w:ind w:left="0" w:firstLine="709"/>
        <w:jc w:val="both"/>
        <w:rPr>
          <w:rFonts w:ascii="Times New Roman" w:hAnsi="Times New Roman" w:cs="Times New Roman"/>
          <w:sz w:val="24"/>
        </w:rPr>
      </w:pPr>
      <w:r w:rsidRPr="009563F4">
        <w:rPr>
          <w:rFonts w:ascii="Times New Roman" w:hAnsi="Times New Roman" w:cs="Times New Roman"/>
          <w:sz w:val="24"/>
        </w:rPr>
        <w:t xml:space="preserve">2. </w:t>
      </w:r>
      <w:r w:rsidRPr="009563F4">
        <w:rPr>
          <w:rFonts w:ascii="Times New Roman" w:hAnsi="Times New Roman" w:cs="Times New Roman"/>
          <w:sz w:val="24"/>
          <w:szCs w:val="24"/>
        </w:rPr>
        <w:t>Утверждение официальных методических рекомендаций (инстр</w:t>
      </w:r>
      <w:r w:rsidR="008C461D">
        <w:rPr>
          <w:rFonts w:ascii="Times New Roman" w:hAnsi="Times New Roman" w:cs="Times New Roman"/>
          <w:sz w:val="24"/>
          <w:szCs w:val="24"/>
        </w:rPr>
        <w:t xml:space="preserve">укции) по заполнению формы КППК, </w:t>
      </w:r>
      <w:r w:rsidRPr="009563F4">
        <w:rPr>
          <w:rFonts w:ascii="Times New Roman" w:hAnsi="Times New Roman" w:cs="Times New Roman"/>
          <w:sz w:val="24"/>
          <w:szCs w:val="24"/>
        </w:rPr>
        <w:t>повышение доступности экспертной и консультационной информативности при составлении КППК.</w:t>
      </w:r>
    </w:p>
    <w:p w:rsidR="009563F4" w:rsidRPr="009563F4" w:rsidRDefault="009563F4" w:rsidP="009563F4">
      <w:pPr>
        <w:pStyle w:val="a3"/>
        <w:spacing w:after="0" w:line="360" w:lineRule="auto"/>
        <w:ind w:left="0" w:firstLine="709"/>
        <w:jc w:val="both"/>
        <w:rPr>
          <w:rFonts w:ascii="Times New Roman" w:hAnsi="Times New Roman" w:cs="Times New Roman"/>
          <w:sz w:val="24"/>
        </w:rPr>
      </w:pPr>
      <w:r w:rsidRPr="009563F4">
        <w:rPr>
          <w:rFonts w:ascii="Times New Roman" w:hAnsi="Times New Roman" w:cs="Times New Roman"/>
          <w:sz w:val="24"/>
          <w:szCs w:val="24"/>
        </w:rPr>
        <w:t xml:space="preserve">Практика работы регионов по данному направлению показала, что отсутствие официально утвержденных методических рекомендаций по заполнению формы КППК не позволяет однозначно толковать методику расчета отдельных показателей КППК, тем самым увеличивая вероятность совершения ошибок при заполнении организацией формы КППК, что является основанием для отказа во включении организации в проект единого перечня организаций, реализующих КППК, в связи с несоответствием КППК </w:t>
      </w:r>
      <w:r w:rsidRPr="009563F4">
        <w:rPr>
          <w:rFonts w:ascii="Times New Roman" w:hAnsi="Times New Roman" w:cs="Times New Roman"/>
          <w:sz w:val="24"/>
        </w:rPr>
        <w:t>Правилам.</w:t>
      </w:r>
    </w:p>
    <w:p w:rsidR="009563F4" w:rsidRPr="009563F4" w:rsidRDefault="009563F4" w:rsidP="009563F4">
      <w:pPr>
        <w:pStyle w:val="a3"/>
        <w:spacing w:after="0" w:line="360" w:lineRule="auto"/>
        <w:ind w:left="0" w:firstLine="709"/>
        <w:jc w:val="both"/>
        <w:rPr>
          <w:rFonts w:ascii="Times New Roman" w:hAnsi="Times New Roman" w:cs="Times New Roman"/>
          <w:sz w:val="24"/>
          <w:szCs w:val="24"/>
        </w:rPr>
      </w:pPr>
      <w:r w:rsidRPr="009563F4">
        <w:rPr>
          <w:rFonts w:ascii="Times New Roman" w:hAnsi="Times New Roman" w:cs="Times New Roman"/>
          <w:sz w:val="24"/>
        </w:rPr>
        <w:t>Проведенные 9 информационных вебинаров были не всегда своевременными и информативными, многие нюансы стали ясны лишь после завершения процедуры отбора.</w:t>
      </w:r>
    </w:p>
    <w:p w:rsidR="009563F4" w:rsidRPr="009563F4" w:rsidRDefault="009563F4" w:rsidP="009563F4">
      <w:pPr>
        <w:pStyle w:val="a3"/>
        <w:spacing w:after="0" w:line="360" w:lineRule="auto"/>
        <w:ind w:left="0" w:firstLine="709"/>
        <w:jc w:val="both"/>
        <w:rPr>
          <w:rFonts w:ascii="Times New Roman" w:hAnsi="Times New Roman" w:cs="Times New Roman"/>
          <w:sz w:val="24"/>
          <w:szCs w:val="24"/>
        </w:rPr>
      </w:pPr>
      <w:r w:rsidRPr="009563F4">
        <w:rPr>
          <w:rFonts w:ascii="Times New Roman" w:hAnsi="Times New Roman" w:cs="Times New Roman"/>
          <w:sz w:val="24"/>
          <w:szCs w:val="24"/>
        </w:rPr>
        <w:t>3. Сокращение сроков административной процедуры получения заключени</w:t>
      </w:r>
      <w:r w:rsidR="00124699">
        <w:rPr>
          <w:rFonts w:ascii="Times New Roman" w:hAnsi="Times New Roman" w:cs="Times New Roman"/>
          <w:sz w:val="24"/>
          <w:szCs w:val="24"/>
        </w:rPr>
        <w:t xml:space="preserve">я в рамках постановления № 719 </w:t>
      </w:r>
    </w:p>
    <w:p w:rsidR="009563F4" w:rsidRPr="009563F4" w:rsidRDefault="009563F4" w:rsidP="009563F4">
      <w:pPr>
        <w:pStyle w:val="a3"/>
        <w:spacing w:after="0" w:line="360" w:lineRule="auto"/>
        <w:ind w:left="0" w:firstLine="709"/>
        <w:jc w:val="both"/>
        <w:rPr>
          <w:rFonts w:ascii="Times New Roman" w:hAnsi="Times New Roman" w:cs="Times New Roman"/>
          <w:sz w:val="24"/>
          <w:szCs w:val="24"/>
        </w:rPr>
      </w:pPr>
      <w:r w:rsidRPr="009563F4">
        <w:rPr>
          <w:rFonts w:ascii="Times New Roman" w:hAnsi="Times New Roman" w:cs="Times New Roman"/>
          <w:sz w:val="24"/>
        </w:rPr>
        <w:t>3.1</w:t>
      </w:r>
      <w:r w:rsidR="004B5C9A">
        <w:rPr>
          <w:rFonts w:ascii="Times New Roman" w:hAnsi="Times New Roman" w:cs="Times New Roman"/>
          <w:sz w:val="24"/>
        </w:rPr>
        <w:t>.</w:t>
      </w:r>
      <w:r w:rsidRPr="009563F4">
        <w:rPr>
          <w:rFonts w:ascii="Times New Roman" w:hAnsi="Times New Roman" w:cs="Times New Roman"/>
          <w:sz w:val="24"/>
          <w:szCs w:val="24"/>
        </w:rPr>
        <w:t>Закрепление кодов Товарной номенклатуры внешнеэкономической деятельности Евразийского экономического союза (ТН ВЭД ЕАЭС) за структурными подразделениями Минпромторга России в целях выдачи заключений о подтверждении производства продукции в рамках постановления Правительства Российской Федерации № 719.</w:t>
      </w:r>
    </w:p>
    <w:p w:rsidR="009563F4" w:rsidRPr="009563F4" w:rsidRDefault="009563F4" w:rsidP="009563F4">
      <w:pPr>
        <w:pStyle w:val="a3"/>
        <w:spacing w:after="0" w:line="360" w:lineRule="auto"/>
        <w:ind w:left="0" w:firstLine="709"/>
        <w:jc w:val="both"/>
        <w:rPr>
          <w:rFonts w:ascii="Times New Roman" w:hAnsi="Times New Roman" w:cs="Times New Roman"/>
          <w:sz w:val="24"/>
          <w:szCs w:val="24"/>
        </w:rPr>
      </w:pPr>
      <w:r w:rsidRPr="009563F4">
        <w:rPr>
          <w:rFonts w:ascii="Times New Roman" w:hAnsi="Times New Roman" w:cs="Times New Roman"/>
          <w:sz w:val="24"/>
          <w:szCs w:val="24"/>
        </w:rPr>
        <w:t xml:space="preserve">В настоящее время в действующей редакции </w:t>
      </w:r>
      <w:r w:rsidRPr="009563F4">
        <w:rPr>
          <w:rFonts w:ascii="Times New Roman" w:hAnsi="Times New Roman" w:cs="Times New Roman"/>
          <w:sz w:val="24"/>
        </w:rPr>
        <w:t xml:space="preserve">приказа </w:t>
      </w:r>
      <w:r w:rsidRPr="009563F4">
        <w:rPr>
          <w:rFonts w:ascii="Times New Roman" w:hAnsi="Times New Roman" w:cs="Times New Roman"/>
          <w:sz w:val="24"/>
          <w:szCs w:val="24"/>
        </w:rPr>
        <w:t>Минпромторга России</w:t>
      </w:r>
      <w:r w:rsidRPr="009563F4">
        <w:rPr>
          <w:rFonts w:ascii="Times New Roman" w:hAnsi="Times New Roman" w:cs="Times New Roman"/>
          <w:sz w:val="24"/>
        </w:rPr>
        <w:t xml:space="preserve"> от 20 февраля 2017 г. № 498 «Об определении принадлежности кодов Товарной номенклатуры внешнеэкономической деятельности Евразийского экономического союза (ТН ВЭД ЕАЭС) к структурным подразделениям Министерства промышленности и торговли Российской Федерации» не учтен ряд кодов ТН ВЭД ЕАЭС, указанных в приказе </w:t>
      </w:r>
      <w:r w:rsidRPr="009563F4">
        <w:rPr>
          <w:rFonts w:ascii="Times New Roman" w:hAnsi="Times New Roman" w:cs="Times New Roman"/>
          <w:sz w:val="24"/>
          <w:szCs w:val="24"/>
        </w:rPr>
        <w:t xml:space="preserve">Минпромторга России </w:t>
      </w:r>
      <w:r w:rsidRPr="009563F4">
        <w:rPr>
          <w:rFonts w:ascii="Times New Roman" w:hAnsi="Times New Roman" w:cs="Times New Roman"/>
          <w:sz w:val="24"/>
        </w:rPr>
        <w:t xml:space="preserve">от 29 марта 2019 г. № 1021 «Об утверждении перечня продукции для целей реализации государственной поддержки организаций, реализующих корпоративные программы повышения конкурентоспособности», в связи с чем на практике возникли случаи отказа предприятиям в выдаче заключений о подтверждении производства продукции в </w:t>
      </w:r>
      <w:r w:rsidRPr="009563F4">
        <w:rPr>
          <w:rFonts w:ascii="Times New Roman" w:hAnsi="Times New Roman" w:cs="Times New Roman"/>
          <w:sz w:val="24"/>
          <w:szCs w:val="24"/>
        </w:rPr>
        <w:t xml:space="preserve">рамках постановления Правительства Российской Федерации </w:t>
      </w:r>
      <w:r w:rsidRPr="009563F4">
        <w:rPr>
          <w:rFonts w:ascii="Times New Roman" w:hAnsi="Times New Roman" w:cs="Times New Roman"/>
          <w:sz w:val="24"/>
          <w:szCs w:val="24"/>
        </w:rPr>
        <w:lastRenderedPageBreak/>
        <w:t xml:space="preserve">№ 719, поскольку коды </w:t>
      </w:r>
      <w:r w:rsidRPr="009563F4">
        <w:rPr>
          <w:rFonts w:ascii="Times New Roman" w:hAnsi="Times New Roman" w:cs="Times New Roman"/>
          <w:sz w:val="24"/>
        </w:rPr>
        <w:t xml:space="preserve">ТН ВЭД ЕАЭС деятельности предприятия не закреплены за конкретным структурным подразделением (департаментом) </w:t>
      </w:r>
      <w:r w:rsidRPr="009563F4">
        <w:rPr>
          <w:rFonts w:ascii="Times New Roman" w:hAnsi="Times New Roman" w:cs="Times New Roman"/>
          <w:sz w:val="24"/>
          <w:szCs w:val="24"/>
        </w:rPr>
        <w:t>Минпромторга России, что в свою очередь необоснованно ограничивает возможность получения организациями и иных инструментов федеральной поддержки.</w:t>
      </w:r>
    </w:p>
    <w:p w:rsidR="009563F4" w:rsidRPr="009563F4" w:rsidRDefault="009563F4" w:rsidP="009563F4">
      <w:pPr>
        <w:pStyle w:val="a3"/>
        <w:spacing w:after="0" w:line="360" w:lineRule="auto"/>
        <w:ind w:left="0" w:firstLine="709"/>
        <w:jc w:val="both"/>
        <w:rPr>
          <w:rFonts w:ascii="Times New Roman" w:hAnsi="Times New Roman" w:cs="Times New Roman"/>
          <w:sz w:val="24"/>
          <w:szCs w:val="24"/>
        </w:rPr>
      </w:pPr>
      <w:r w:rsidRPr="009563F4">
        <w:rPr>
          <w:rFonts w:ascii="Times New Roman" w:hAnsi="Times New Roman" w:cs="Times New Roman"/>
          <w:sz w:val="24"/>
        </w:rPr>
        <w:t>3.2</w:t>
      </w:r>
      <w:r w:rsidR="004B5C9A">
        <w:rPr>
          <w:rFonts w:ascii="Times New Roman" w:hAnsi="Times New Roman" w:cs="Times New Roman"/>
          <w:sz w:val="24"/>
        </w:rPr>
        <w:t>.</w:t>
      </w:r>
      <w:r w:rsidRPr="009563F4">
        <w:rPr>
          <w:rFonts w:ascii="Times New Roman" w:hAnsi="Times New Roman" w:cs="Times New Roman"/>
          <w:sz w:val="24"/>
        </w:rPr>
        <w:t xml:space="preserve"> Сокращение срока выдачи заключения о производстве продукции в рамках постановления № 719</w:t>
      </w:r>
      <w:r w:rsidRPr="009563F4">
        <w:rPr>
          <w:rFonts w:ascii="Times New Roman" w:hAnsi="Times New Roman" w:cs="Times New Roman"/>
          <w:sz w:val="24"/>
          <w:szCs w:val="24"/>
        </w:rPr>
        <w:t xml:space="preserve"> Минпромторгом России с 15 рабочих дней до 10. В целях мотивации исполнения сроков данной административной процедуры предусмотреть это в качестве показателя эффективности соответствующих департаментов Минпромторга России.</w:t>
      </w:r>
    </w:p>
    <w:p w:rsidR="009563F4" w:rsidRPr="009563F4" w:rsidRDefault="009563F4" w:rsidP="009563F4">
      <w:pPr>
        <w:pStyle w:val="a3"/>
        <w:spacing w:after="0" w:line="360" w:lineRule="auto"/>
        <w:ind w:left="0" w:firstLine="709"/>
        <w:jc w:val="both"/>
        <w:rPr>
          <w:rFonts w:ascii="Times New Roman" w:hAnsi="Times New Roman" w:cs="Times New Roman"/>
          <w:sz w:val="24"/>
        </w:rPr>
      </w:pPr>
      <w:r w:rsidRPr="009563F4">
        <w:rPr>
          <w:rFonts w:ascii="Times New Roman" w:hAnsi="Times New Roman" w:cs="Times New Roman"/>
          <w:sz w:val="24"/>
          <w:szCs w:val="24"/>
        </w:rPr>
        <w:t>3.</w:t>
      </w:r>
      <w:r w:rsidR="004B5C9A">
        <w:rPr>
          <w:rFonts w:ascii="Times New Roman" w:hAnsi="Times New Roman" w:cs="Times New Roman"/>
          <w:sz w:val="24"/>
          <w:szCs w:val="24"/>
        </w:rPr>
        <w:t>3.</w:t>
      </w:r>
      <w:r w:rsidRPr="009563F4">
        <w:rPr>
          <w:rFonts w:ascii="Times New Roman" w:hAnsi="Times New Roman" w:cs="Times New Roman"/>
          <w:sz w:val="24"/>
          <w:szCs w:val="24"/>
        </w:rPr>
        <w:t xml:space="preserve"> Расширение сети торгово-промышленных палат (ТПП), уполномоченных на выдачу сертификата </w:t>
      </w:r>
      <w:r w:rsidRPr="009563F4">
        <w:rPr>
          <w:rFonts w:ascii="Times New Roman" w:hAnsi="Times New Roman" w:cs="Times New Roman"/>
          <w:sz w:val="24"/>
        </w:rPr>
        <w:t>о происхождении товаров формы</w:t>
      </w:r>
      <w:r w:rsidRPr="009563F4">
        <w:rPr>
          <w:rFonts w:ascii="Times New Roman" w:hAnsi="Times New Roman" w:cs="Times New Roman"/>
        </w:rPr>
        <w:t>СТ-1</w:t>
      </w:r>
      <w:r w:rsidRPr="009563F4">
        <w:rPr>
          <w:rFonts w:ascii="Times New Roman" w:hAnsi="Times New Roman" w:cs="Times New Roman"/>
          <w:sz w:val="24"/>
          <w:szCs w:val="24"/>
        </w:rPr>
        <w:t xml:space="preserve"> или акта экспертизы </w:t>
      </w:r>
      <w:r w:rsidRPr="009563F4">
        <w:rPr>
          <w:rFonts w:ascii="Times New Roman" w:hAnsi="Times New Roman" w:cs="Times New Roman"/>
          <w:sz w:val="24"/>
        </w:rPr>
        <w:t>для последующего получения заключения о подтверждении производства продукции на территории России, в целях обеспечения доступности данной услуги во всех субъектах</w:t>
      </w:r>
      <w:r w:rsidR="00687F0C">
        <w:rPr>
          <w:rFonts w:ascii="Times New Roman" w:hAnsi="Times New Roman" w:cs="Times New Roman"/>
          <w:sz w:val="24"/>
        </w:rPr>
        <w:t xml:space="preserve"> (по прогнозам 81%)</w:t>
      </w:r>
      <w:r w:rsidRPr="009563F4">
        <w:rPr>
          <w:rFonts w:ascii="Times New Roman" w:hAnsi="Times New Roman" w:cs="Times New Roman"/>
          <w:sz w:val="24"/>
        </w:rPr>
        <w:t xml:space="preserve">, которым доведут показатели по экспорту продукции, вместо 49%. </w:t>
      </w:r>
    </w:p>
    <w:p w:rsidR="009563F4" w:rsidRPr="009563F4" w:rsidRDefault="009563F4" w:rsidP="009563F4">
      <w:pPr>
        <w:pStyle w:val="a3"/>
        <w:spacing w:after="0" w:line="360" w:lineRule="auto"/>
        <w:ind w:left="0" w:firstLine="709"/>
        <w:jc w:val="both"/>
        <w:rPr>
          <w:rFonts w:ascii="Times New Roman" w:hAnsi="Times New Roman" w:cs="Times New Roman"/>
          <w:sz w:val="24"/>
          <w:szCs w:val="24"/>
        </w:rPr>
      </w:pPr>
      <w:r w:rsidRPr="009563F4">
        <w:rPr>
          <w:rFonts w:ascii="Times New Roman" w:hAnsi="Times New Roman" w:cs="Times New Roman"/>
          <w:sz w:val="24"/>
          <w:szCs w:val="24"/>
        </w:rPr>
        <w:t xml:space="preserve">Получение заключения о подтверждении производства продукции на территории России (в рамках постановления Правительства Российской Федерации от 17 июня 2015 № 719 «О подтверждении производства промышленной продукции на территории Российской Федерации» (далее - постановление № 719), так называемое подтверждение «российскости» занимает до </w:t>
      </w:r>
      <w:r w:rsidR="008C461D">
        <w:rPr>
          <w:rFonts w:ascii="Times New Roman" w:hAnsi="Times New Roman" w:cs="Times New Roman"/>
          <w:sz w:val="24"/>
          <w:szCs w:val="24"/>
        </w:rPr>
        <w:t>60 дней</w:t>
      </w:r>
      <w:r w:rsidRPr="009563F4">
        <w:rPr>
          <w:rFonts w:ascii="Times New Roman" w:hAnsi="Times New Roman" w:cs="Times New Roman"/>
          <w:sz w:val="24"/>
          <w:szCs w:val="24"/>
        </w:rPr>
        <w:t>.</w:t>
      </w:r>
    </w:p>
    <w:p w:rsidR="009563F4" w:rsidRPr="009563F4" w:rsidRDefault="009563F4" w:rsidP="009563F4">
      <w:pPr>
        <w:spacing w:after="0" w:line="360" w:lineRule="auto"/>
        <w:ind w:firstLine="709"/>
        <w:jc w:val="both"/>
        <w:rPr>
          <w:rFonts w:ascii="Times New Roman" w:hAnsi="Times New Roman" w:cs="Times New Roman"/>
          <w:sz w:val="24"/>
        </w:rPr>
      </w:pPr>
      <w:r w:rsidRPr="009563F4">
        <w:rPr>
          <w:rFonts w:ascii="Times New Roman" w:hAnsi="Times New Roman" w:cs="Times New Roman"/>
          <w:sz w:val="24"/>
          <w:szCs w:val="24"/>
        </w:rPr>
        <w:t xml:space="preserve">Для получения данного документа от Минпромторга России необходим сертификат СТ-1 или акт экспертизы, который выдают не все Торгово-промышленные палаты России (далее – ТПП), а лишь уполномоченные. </w:t>
      </w:r>
      <w:r w:rsidRPr="009563F4">
        <w:rPr>
          <w:rFonts w:ascii="Times New Roman" w:hAnsi="Times New Roman" w:cs="Times New Roman"/>
          <w:sz w:val="24"/>
        </w:rPr>
        <w:t>Согласно приказу Торгово-промышленной палаты Российской Федерации от 28 декабря 2017 г. № 95 «О торгово-промышленных палатах в Российской Федерации, уполномоченных на реализацию постановления Правительства Российской Федерации от 17.07.2015 г. № 719 «О подтверждении производства промышленной продукции на территории Российской Федерации» (в ред. от 24.06.2019) в настоящее время на территории Российской Федерации действует 42 ТПП, уполномоченных на выдачу сертификатов о происхождении товаров формы СТ-1 или акта экспертизы для последующего получения заключения о подтверждении производства продукции, выдаваемого в рамках постановления № 719.</w:t>
      </w:r>
    </w:p>
    <w:p w:rsidR="009563F4" w:rsidRDefault="009563F4" w:rsidP="009563F4">
      <w:pPr>
        <w:spacing w:after="0" w:line="360" w:lineRule="auto"/>
        <w:ind w:firstLine="740"/>
        <w:jc w:val="both"/>
        <w:rPr>
          <w:rFonts w:ascii="Times New Roman" w:hAnsi="Times New Roman" w:cs="Times New Roman"/>
          <w:sz w:val="24"/>
        </w:rPr>
      </w:pPr>
      <w:r w:rsidRPr="009563F4">
        <w:rPr>
          <w:rFonts w:ascii="Times New Roman" w:hAnsi="Times New Roman" w:cs="Times New Roman"/>
          <w:sz w:val="24"/>
          <w:szCs w:val="24"/>
        </w:rPr>
        <w:t xml:space="preserve">Получается, что уполномоченные ТПП составляют лишь 23% от их общего числа и обеспечивают зону покрытия в 49% субъектов Российской Федерации. </w:t>
      </w:r>
      <w:r w:rsidRPr="009563F4">
        <w:rPr>
          <w:rFonts w:ascii="Times New Roman" w:hAnsi="Times New Roman" w:cs="Times New Roman"/>
          <w:sz w:val="24"/>
        </w:rPr>
        <w:t xml:space="preserve">Указанные данные свидетельствуют о том, что предприятия, расположенные на территории более половины регионов, не охваченных данной услугой ТПП (51 %), испытывают определенные </w:t>
      </w:r>
      <w:r w:rsidRPr="009563F4">
        <w:rPr>
          <w:rFonts w:ascii="Times New Roman" w:hAnsi="Times New Roman" w:cs="Times New Roman"/>
          <w:sz w:val="24"/>
        </w:rPr>
        <w:lastRenderedPageBreak/>
        <w:t>сложности, связанные с возможностью обращения за получением мер государственной поддержки в рамках федерального проекта.</w:t>
      </w:r>
    </w:p>
    <w:p w:rsidR="007437BC" w:rsidRDefault="008C461D" w:rsidP="009563F4">
      <w:pPr>
        <w:spacing w:after="0" w:line="360" w:lineRule="auto"/>
        <w:ind w:firstLine="740"/>
        <w:jc w:val="both"/>
        <w:rPr>
          <w:rFonts w:ascii="Times New Roman" w:hAnsi="Times New Roman" w:cs="Times New Roman"/>
          <w:sz w:val="24"/>
        </w:rPr>
      </w:pPr>
      <w:r>
        <w:rPr>
          <w:rFonts w:ascii="Times New Roman" w:hAnsi="Times New Roman" w:cs="Times New Roman"/>
          <w:sz w:val="24"/>
        </w:rPr>
        <w:t xml:space="preserve">3.4. </w:t>
      </w:r>
      <w:r w:rsidR="007437BC">
        <w:rPr>
          <w:rFonts w:ascii="Times New Roman" w:hAnsi="Times New Roman" w:cs="Times New Roman"/>
          <w:sz w:val="24"/>
        </w:rPr>
        <w:t xml:space="preserve">Сокращение срока выдачи ТПП документов </w:t>
      </w:r>
      <w:r w:rsidR="007437BC" w:rsidRPr="007437BC">
        <w:rPr>
          <w:rFonts w:ascii="Times New Roman" w:hAnsi="Times New Roman" w:cs="Times New Roman"/>
          <w:sz w:val="24"/>
        </w:rPr>
        <w:t>для целей подтверждения производства промышленной продукции на территории Российской Федерации</w:t>
      </w:r>
      <w:r w:rsidR="007437BC">
        <w:rPr>
          <w:rFonts w:ascii="Times New Roman" w:hAnsi="Times New Roman" w:cs="Times New Roman"/>
          <w:sz w:val="24"/>
        </w:rPr>
        <w:t>.</w:t>
      </w:r>
    </w:p>
    <w:p w:rsidR="008C461D" w:rsidRPr="00C11910" w:rsidRDefault="007437BC" w:rsidP="00462899">
      <w:pPr>
        <w:numPr>
          <w:ilvl w:val="0"/>
          <w:numId w:val="4"/>
        </w:numPr>
        <w:tabs>
          <w:tab w:val="left" w:pos="284"/>
          <w:tab w:val="left" w:pos="993"/>
        </w:tabs>
        <w:spacing w:after="0" w:line="360" w:lineRule="auto"/>
        <w:ind w:left="0" w:firstLine="740"/>
        <w:jc w:val="both"/>
        <w:rPr>
          <w:rFonts w:ascii="Times New Roman" w:hAnsi="Times New Roman" w:cs="Times New Roman"/>
          <w:sz w:val="24"/>
        </w:rPr>
      </w:pPr>
      <w:r w:rsidRPr="00C11910">
        <w:rPr>
          <w:rFonts w:ascii="Times New Roman" w:hAnsi="Times New Roman" w:cs="Times New Roman"/>
          <w:sz w:val="24"/>
        </w:rPr>
        <w:t>На сегодняшний день данная процедура может стянуться на бесконечно долгий срок, потому что приказ Торгово-промышленной палаты Российской Федерации от 30.05.2018 г. № 52 «Об утверждении Положения о порядке выдачи документов для целей подтверждения производства промышленной продукции на территории Российской Федерации» не содержит четких сроков. Как показала практика эта процедура занимает до 60 дней.</w:t>
      </w:r>
      <w:r w:rsidR="00C11910" w:rsidRPr="00C11910">
        <w:rPr>
          <w:rFonts w:ascii="Times New Roman" w:hAnsi="Times New Roman" w:cs="Times New Roman"/>
          <w:sz w:val="24"/>
        </w:rPr>
        <w:t xml:space="preserve"> Если установить четкие сроки оказания данной услуги ТПП и замотивировать руководителей ТПП на их эффективное выполнение путем закрепления данного срока в качестве ключевого критерия в </w:t>
      </w:r>
      <w:r w:rsidR="008C461D" w:rsidRPr="00C11910">
        <w:rPr>
          <w:rFonts w:ascii="Times New Roman" w:hAnsi="Times New Roman" w:cs="Times New Roman"/>
          <w:sz w:val="24"/>
          <w:szCs w:val="24"/>
        </w:rPr>
        <w:t>Положени</w:t>
      </w:r>
      <w:r w:rsidR="00C11910">
        <w:rPr>
          <w:rFonts w:ascii="Times New Roman" w:hAnsi="Times New Roman" w:cs="Times New Roman"/>
          <w:sz w:val="24"/>
          <w:szCs w:val="24"/>
        </w:rPr>
        <w:t>и</w:t>
      </w:r>
      <w:r w:rsidR="008C461D" w:rsidRPr="00C11910">
        <w:rPr>
          <w:rFonts w:ascii="Times New Roman" w:hAnsi="Times New Roman" w:cs="Times New Roman"/>
          <w:sz w:val="24"/>
          <w:szCs w:val="24"/>
        </w:rPr>
        <w:t xml:space="preserve"> о стандарте деятельности торгово-промышленных палат в Российской Федерации</w:t>
      </w:r>
      <w:r w:rsidR="00C11910">
        <w:rPr>
          <w:rFonts w:ascii="Times New Roman" w:hAnsi="Times New Roman" w:cs="Times New Roman"/>
          <w:sz w:val="24"/>
          <w:szCs w:val="24"/>
        </w:rPr>
        <w:t>, то мы можем установит длительность этой процедуры на уровне 30 дней.</w:t>
      </w:r>
    </w:p>
    <w:p w:rsidR="009563F4" w:rsidRPr="009563F4" w:rsidRDefault="009563F4" w:rsidP="009563F4">
      <w:pPr>
        <w:spacing w:after="0" w:line="360" w:lineRule="auto"/>
        <w:ind w:firstLine="740"/>
        <w:jc w:val="both"/>
        <w:rPr>
          <w:rFonts w:ascii="Times New Roman" w:hAnsi="Times New Roman" w:cs="Times New Roman"/>
          <w:sz w:val="24"/>
          <w:szCs w:val="24"/>
        </w:rPr>
      </w:pPr>
      <w:r w:rsidRPr="009563F4">
        <w:rPr>
          <w:rFonts w:ascii="Times New Roman" w:hAnsi="Times New Roman" w:cs="Times New Roman"/>
          <w:sz w:val="24"/>
        </w:rPr>
        <w:t>3.</w:t>
      </w:r>
      <w:r w:rsidR="008C461D">
        <w:rPr>
          <w:rFonts w:ascii="Times New Roman" w:hAnsi="Times New Roman" w:cs="Times New Roman"/>
          <w:sz w:val="24"/>
        </w:rPr>
        <w:t>5</w:t>
      </w:r>
      <w:r w:rsidR="004B5C9A">
        <w:rPr>
          <w:rFonts w:ascii="Times New Roman" w:hAnsi="Times New Roman" w:cs="Times New Roman"/>
          <w:sz w:val="24"/>
        </w:rPr>
        <w:t>.</w:t>
      </w:r>
      <w:r w:rsidRPr="009563F4">
        <w:rPr>
          <w:rFonts w:ascii="Times New Roman" w:hAnsi="Times New Roman" w:cs="Times New Roman"/>
          <w:sz w:val="24"/>
        </w:rPr>
        <w:t xml:space="preserve"> О</w:t>
      </w:r>
      <w:r w:rsidRPr="009563F4">
        <w:rPr>
          <w:rFonts w:ascii="Times New Roman" w:hAnsi="Times New Roman" w:cs="Times New Roman"/>
          <w:sz w:val="24"/>
          <w:szCs w:val="24"/>
        </w:rPr>
        <w:t xml:space="preserve">беспечение реализации на практике принципа однократности подачи документов в ТПП в составе заявления на выдачу сертификата </w:t>
      </w:r>
      <w:r w:rsidRPr="009563F4">
        <w:rPr>
          <w:rFonts w:ascii="Times New Roman" w:hAnsi="Times New Roman" w:cs="Times New Roman"/>
          <w:sz w:val="24"/>
        </w:rPr>
        <w:t xml:space="preserve">о происхождении товаров формы </w:t>
      </w:r>
      <w:r w:rsidRPr="009563F4">
        <w:rPr>
          <w:rFonts w:ascii="Times New Roman" w:hAnsi="Times New Roman" w:cs="Times New Roman"/>
          <w:sz w:val="24"/>
          <w:szCs w:val="24"/>
        </w:rPr>
        <w:t>СТ-1 или акта экспертизы при условии, что в них не вносились изменения и дополнения.</w:t>
      </w:r>
    </w:p>
    <w:p w:rsidR="009563F4" w:rsidRDefault="009563F4" w:rsidP="009563F4">
      <w:pPr>
        <w:pStyle w:val="a3"/>
        <w:spacing w:after="0" w:line="360" w:lineRule="auto"/>
        <w:ind w:left="0" w:firstLine="709"/>
        <w:jc w:val="both"/>
        <w:rPr>
          <w:rFonts w:ascii="Times New Roman" w:hAnsi="Times New Roman" w:cs="Times New Roman"/>
          <w:sz w:val="24"/>
          <w:szCs w:val="24"/>
        </w:rPr>
      </w:pPr>
      <w:r w:rsidRPr="009563F4">
        <w:rPr>
          <w:rFonts w:ascii="Times New Roman" w:hAnsi="Times New Roman" w:cs="Times New Roman"/>
          <w:sz w:val="24"/>
          <w:szCs w:val="24"/>
        </w:rPr>
        <w:t xml:space="preserve">Нормативно закрепленный в </w:t>
      </w:r>
      <w:r w:rsidRPr="009563F4">
        <w:rPr>
          <w:rFonts w:ascii="Times New Roman" w:hAnsi="Times New Roman" w:cs="Times New Roman"/>
          <w:sz w:val="24"/>
        </w:rPr>
        <w:t xml:space="preserve">приказе Торгово-промышленной палаты Российской Федерации от 30.05.2018 № 52 «Об утверждении Положения о порядке выдачи документов для целей подтверждения производства промышленной продукции на территории Российской Федерации» </w:t>
      </w:r>
      <w:r w:rsidRPr="009563F4">
        <w:rPr>
          <w:rFonts w:ascii="Times New Roman" w:hAnsi="Times New Roman" w:cs="Times New Roman"/>
          <w:sz w:val="24"/>
          <w:szCs w:val="24"/>
        </w:rPr>
        <w:t xml:space="preserve">принцип однократности подачи документов в ТПП в составе заявления на выдачу сертификата </w:t>
      </w:r>
      <w:r w:rsidRPr="009563F4">
        <w:rPr>
          <w:rFonts w:ascii="Times New Roman" w:hAnsi="Times New Roman" w:cs="Times New Roman"/>
          <w:sz w:val="24"/>
        </w:rPr>
        <w:t xml:space="preserve">о происхождении товаров формы </w:t>
      </w:r>
      <w:r w:rsidRPr="009563F4">
        <w:rPr>
          <w:rFonts w:ascii="Times New Roman" w:hAnsi="Times New Roman" w:cs="Times New Roman"/>
          <w:sz w:val="24"/>
          <w:szCs w:val="24"/>
        </w:rPr>
        <w:t>СТ-1 или акта экспертизы при условии, что в них не вносились изменения и дополнения (примечание 1 к пункту 4.2), не соответствует сложившейся практике работы ряда ТПП, требующих от организаций предоставления комплекта документов в полном объеме в каждом случае обращения, что в свою очередь накладывает на предприятия существенные дополнительные обременения по подготовке пакета документов большого объема.</w:t>
      </w:r>
    </w:p>
    <w:p w:rsidR="00647AC8" w:rsidRPr="009563F4" w:rsidRDefault="00647AC8" w:rsidP="009563F4">
      <w:pPr>
        <w:pStyle w:val="a3"/>
        <w:spacing w:after="0" w:line="360" w:lineRule="auto"/>
        <w:ind w:left="0" w:firstLine="709"/>
        <w:jc w:val="both"/>
        <w:rPr>
          <w:rFonts w:ascii="Times New Roman" w:hAnsi="Times New Roman" w:cs="Times New Roman"/>
          <w:sz w:val="24"/>
          <w:szCs w:val="24"/>
        </w:rPr>
      </w:pPr>
    </w:p>
    <w:p w:rsidR="004B5D07" w:rsidRPr="00185238" w:rsidRDefault="000A0E31" w:rsidP="00672E05">
      <w:pPr>
        <w:pStyle w:val="41"/>
      </w:pPr>
      <w:r w:rsidRPr="00185238">
        <w:t>4. Основные стейкхолдеры (заинтересованные лица) предлагаемого решения</w:t>
      </w:r>
    </w:p>
    <w:p w:rsidR="004B5D07" w:rsidRDefault="000A0E31" w:rsidP="00185238">
      <w:pPr>
        <w:spacing w:after="0" w:line="360" w:lineRule="auto"/>
        <w:ind w:firstLine="720"/>
        <w:jc w:val="both"/>
        <w:rPr>
          <w:rFonts w:ascii="Times New Roman" w:hAnsi="Times New Roman" w:cs="Times New Roman"/>
          <w:sz w:val="24"/>
          <w:szCs w:val="24"/>
        </w:rPr>
      </w:pPr>
      <w:r w:rsidRPr="00185238">
        <w:rPr>
          <w:rFonts w:ascii="Times New Roman" w:hAnsi="Times New Roman" w:cs="Times New Roman"/>
          <w:sz w:val="24"/>
          <w:szCs w:val="24"/>
        </w:rPr>
        <w:t xml:space="preserve">Основные стейкхолдеры проектного решения представлены как государственным, так и негосударственным сектором. Механизм предоставления государственной поддержки, регламентированный постановлением № 191, предполагает участие в нем производителей промышленной продукции, Министерства промышленности и торговли Российской Федерации, уполномоченных региональных органов исполнительной власти </w:t>
      </w:r>
      <w:r w:rsidRPr="00185238">
        <w:rPr>
          <w:rFonts w:ascii="Times New Roman" w:hAnsi="Times New Roman" w:cs="Times New Roman"/>
          <w:sz w:val="24"/>
          <w:szCs w:val="24"/>
        </w:rPr>
        <w:lastRenderedPageBreak/>
        <w:t>(далее - РОИВ), АО «Российский экспортный центр» (далее - АО «РЭЦ»), территориальных подразделений Торгово-промышленной палаты Российской Фе</w:t>
      </w:r>
      <w:r w:rsidR="00185238">
        <w:rPr>
          <w:rFonts w:ascii="Times New Roman" w:hAnsi="Times New Roman" w:cs="Times New Roman"/>
          <w:sz w:val="24"/>
          <w:szCs w:val="24"/>
        </w:rPr>
        <w:t xml:space="preserve">дерации, кредитных организаций. </w:t>
      </w:r>
      <w:r>
        <w:rPr>
          <w:rFonts w:ascii="Times New Roman" w:hAnsi="Times New Roman" w:cs="Times New Roman"/>
          <w:sz w:val="24"/>
          <w:szCs w:val="24"/>
        </w:rPr>
        <w:t xml:space="preserve">Основные стейкхолдеры проекта приведены </w:t>
      </w:r>
      <w:r w:rsidR="00185238">
        <w:rPr>
          <w:rFonts w:ascii="Times New Roman" w:hAnsi="Times New Roman" w:cs="Times New Roman"/>
          <w:sz w:val="24"/>
          <w:szCs w:val="24"/>
        </w:rPr>
        <w:t>на</w:t>
      </w:r>
      <w:r>
        <w:rPr>
          <w:rFonts w:ascii="Times New Roman" w:hAnsi="Times New Roman" w:cs="Times New Roman"/>
          <w:sz w:val="24"/>
          <w:szCs w:val="24"/>
        </w:rPr>
        <w:t xml:space="preserve"> рисунке.</w:t>
      </w:r>
    </w:p>
    <w:p w:rsidR="004B5D07" w:rsidRDefault="000A0E31" w:rsidP="00124699">
      <w:pPr>
        <w:keepNext/>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Рис. </w:t>
      </w:r>
      <w:r w:rsidR="00185238">
        <w:rPr>
          <w:rFonts w:ascii="Times New Roman" w:hAnsi="Times New Roman" w:cs="Times New Roman"/>
          <w:sz w:val="24"/>
          <w:szCs w:val="24"/>
        </w:rPr>
        <w:t>4</w:t>
      </w:r>
      <w:r>
        <w:rPr>
          <w:rFonts w:ascii="Times New Roman" w:hAnsi="Times New Roman" w:cs="Times New Roman"/>
          <w:sz w:val="24"/>
          <w:szCs w:val="24"/>
        </w:rPr>
        <w:t xml:space="preserve"> Влияние и интерес основных стейкхолдеров</w:t>
      </w:r>
    </w:p>
    <w:p w:rsidR="00185238" w:rsidRDefault="00185238">
      <w:pPr>
        <w:spacing w:after="0" w:line="360" w:lineRule="auto"/>
        <w:rPr>
          <w:rFonts w:ascii="Times New Roman" w:hAnsi="Times New Roman" w:cs="Times New Roman"/>
          <w:sz w:val="24"/>
          <w:szCs w:val="24"/>
        </w:rPr>
      </w:pPr>
      <w:r>
        <w:rPr>
          <w:noProof/>
          <w:lang w:eastAsia="ru-RU"/>
        </w:rPr>
        <w:drawing>
          <wp:inline distT="0" distB="0" distL="0" distR="0">
            <wp:extent cx="5939790" cy="334137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39790" cy="3341370"/>
                    </a:xfrm>
                    <a:prstGeom prst="rect">
                      <a:avLst/>
                    </a:prstGeom>
                  </pic:spPr>
                </pic:pic>
              </a:graphicData>
            </a:graphic>
          </wp:inline>
        </w:drawing>
      </w:r>
    </w:p>
    <w:p w:rsidR="00185238" w:rsidRDefault="00185238" w:rsidP="0018523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со спецификой мероприятий проекта наибольшее влияние на их реализацию окажут федеральные и региональные органы власти, а также АО «Российский экспортный центр».</w:t>
      </w:r>
    </w:p>
    <w:p w:rsidR="00185238" w:rsidRDefault="00185238" w:rsidP="0018523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Менее значимыми по степени влияния и интереса к проекту являются Торгово-промышленная палата и население Российской Федерации.</w:t>
      </w:r>
    </w:p>
    <w:p w:rsidR="00185238" w:rsidRDefault="00185238" w:rsidP="0018523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не менее значимую роль в процессе ведения экспортной деятельности играют посредники, которые в том числе могут выступать грузоотправителями экспортируемых товаров, а также торговые дома, создаваемые российскими товаропроизводителями на территории иностранных государств в целях продажи российской продукции. Однако, несмотря на имеющуюся потребность, перечисленные субъекты экспортной деятельности не могут воспользоваться субсидиями в силу того, что они не осуществляют непосредственно производство товаров.</w:t>
      </w:r>
    </w:p>
    <w:p w:rsidR="004B5D07" w:rsidRDefault="004B5D07" w:rsidP="00647AC8">
      <w:pPr>
        <w:spacing w:after="0" w:line="360" w:lineRule="auto"/>
        <w:jc w:val="right"/>
        <w:rPr>
          <w:rFonts w:ascii="Times New Roman" w:hAnsi="Times New Roman" w:cs="Times New Roman"/>
          <w:sz w:val="24"/>
          <w:szCs w:val="24"/>
        </w:rPr>
      </w:pPr>
    </w:p>
    <w:p w:rsidR="004B5D07" w:rsidRDefault="000A0E31" w:rsidP="00672E05">
      <w:pPr>
        <w:pStyle w:val="41"/>
      </w:pPr>
      <w:r>
        <w:t>5. Результаты, эффекты проектного решения</w:t>
      </w:r>
    </w:p>
    <w:p w:rsidR="004B5D07" w:rsidRDefault="000A0E31" w:rsidP="00647AC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Путем внесения в механизм поддержки организаций, реализующих КППК, указанных в </w:t>
      </w:r>
      <w:r w:rsidR="00647AC8">
        <w:rPr>
          <w:rFonts w:ascii="Times New Roman" w:hAnsi="Times New Roman" w:cs="Times New Roman"/>
          <w:sz w:val="24"/>
          <w:szCs w:val="24"/>
        </w:rPr>
        <w:t>разделе</w:t>
      </w:r>
      <w:r w:rsidR="00895420">
        <w:rPr>
          <w:rFonts w:ascii="Times New Roman" w:hAnsi="Times New Roman" w:cs="Times New Roman"/>
          <w:sz w:val="24"/>
          <w:szCs w:val="24"/>
        </w:rPr>
        <w:t xml:space="preserve"> </w:t>
      </w:r>
      <w:r w:rsidR="00647AC8">
        <w:rPr>
          <w:rFonts w:ascii="Times New Roman" w:hAnsi="Times New Roman" w:cs="Times New Roman"/>
          <w:sz w:val="24"/>
          <w:szCs w:val="24"/>
        </w:rPr>
        <w:t>3</w:t>
      </w:r>
      <w:r>
        <w:rPr>
          <w:rFonts w:ascii="Times New Roman" w:hAnsi="Times New Roman" w:cs="Times New Roman"/>
          <w:sz w:val="24"/>
          <w:szCs w:val="24"/>
        </w:rPr>
        <w:t xml:space="preserve"> настоящей работы изменений планируется </w:t>
      </w:r>
      <w:r w:rsidR="003B457B">
        <w:rPr>
          <w:rFonts w:ascii="Times New Roman" w:hAnsi="Times New Roman" w:cs="Times New Roman"/>
          <w:sz w:val="24"/>
          <w:szCs w:val="24"/>
        </w:rPr>
        <w:t>получит</w:t>
      </w:r>
      <w:r>
        <w:rPr>
          <w:rFonts w:ascii="Times New Roman" w:hAnsi="Times New Roman" w:cs="Times New Roman"/>
          <w:sz w:val="24"/>
          <w:szCs w:val="24"/>
        </w:rPr>
        <w:t xml:space="preserve"> следующи</w:t>
      </w:r>
      <w:r w:rsidR="003B457B">
        <w:rPr>
          <w:rFonts w:ascii="Times New Roman" w:hAnsi="Times New Roman" w:cs="Times New Roman"/>
          <w:sz w:val="24"/>
          <w:szCs w:val="24"/>
        </w:rPr>
        <w:t>е</w:t>
      </w:r>
      <w:r>
        <w:rPr>
          <w:rFonts w:ascii="Times New Roman" w:hAnsi="Times New Roman" w:cs="Times New Roman"/>
          <w:sz w:val="24"/>
          <w:szCs w:val="24"/>
        </w:rPr>
        <w:t xml:space="preserve"> результат</w:t>
      </w:r>
      <w:r w:rsidR="003B457B">
        <w:rPr>
          <w:rFonts w:ascii="Times New Roman" w:hAnsi="Times New Roman" w:cs="Times New Roman"/>
          <w:sz w:val="24"/>
          <w:szCs w:val="24"/>
        </w:rPr>
        <w:t>ы</w:t>
      </w:r>
      <w:r>
        <w:rPr>
          <w:rFonts w:ascii="Times New Roman" w:hAnsi="Times New Roman" w:cs="Times New Roman"/>
          <w:sz w:val="24"/>
          <w:szCs w:val="24"/>
        </w:rPr>
        <w:t>:</w:t>
      </w:r>
    </w:p>
    <w:p w:rsidR="004B5D07" w:rsidRDefault="000A0E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Срок административной процедуры по заключению соглашения с организациями, реализующими КППК, сокращен со 179 до 70 календарных дней.</w:t>
      </w:r>
    </w:p>
    <w:p w:rsidR="00354A12" w:rsidRPr="009563F4" w:rsidRDefault="000A0E31" w:rsidP="00354A12">
      <w:pPr>
        <w:pStyle w:val="a3"/>
        <w:spacing w:after="0" w:line="360" w:lineRule="auto"/>
        <w:ind w:left="0" w:firstLine="709"/>
        <w:jc w:val="both"/>
        <w:rPr>
          <w:rFonts w:ascii="Times New Roman" w:hAnsi="Times New Roman" w:cs="Times New Roman"/>
          <w:sz w:val="24"/>
        </w:rPr>
      </w:pPr>
      <w:r>
        <w:rPr>
          <w:rFonts w:ascii="Times New Roman" w:hAnsi="Times New Roman" w:cs="Times New Roman"/>
          <w:sz w:val="24"/>
          <w:szCs w:val="24"/>
        </w:rPr>
        <w:t xml:space="preserve">- Обеспечена доступность услуги по выдаче </w:t>
      </w:r>
      <w:r w:rsidRPr="00354A12">
        <w:rPr>
          <w:rFonts w:ascii="Times New Roman" w:hAnsi="Times New Roman" w:cs="Times New Roman"/>
          <w:sz w:val="24"/>
          <w:szCs w:val="24"/>
        </w:rPr>
        <w:t>сертификата о происхождении товаров формы СТ-1 или акта экспертиз</w:t>
      </w:r>
      <w:r w:rsidR="00AC76C1">
        <w:rPr>
          <w:rFonts w:ascii="Times New Roman" w:hAnsi="Times New Roman" w:cs="Times New Roman"/>
          <w:sz w:val="24"/>
          <w:szCs w:val="24"/>
        </w:rPr>
        <w:t>ы ТПП для последующего получения</w:t>
      </w:r>
      <w:r w:rsidRPr="00354A12">
        <w:rPr>
          <w:rFonts w:ascii="Times New Roman" w:hAnsi="Times New Roman" w:cs="Times New Roman"/>
          <w:sz w:val="24"/>
          <w:szCs w:val="24"/>
        </w:rPr>
        <w:t xml:space="preserve"> заключения о подтверждении производства продукции на территории России </w:t>
      </w:r>
      <w:r w:rsidR="00354A12" w:rsidRPr="00354A12">
        <w:rPr>
          <w:rFonts w:ascii="Times New Roman" w:hAnsi="Times New Roman" w:cs="Times New Roman"/>
          <w:sz w:val="24"/>
        </w:rPr>
        <w:t>во всех субъектах, которым доведут показатели по экспорту продукции</w:t>
      </w:r>
      <w:r w:rsidR="00507ECE">
        <w:rPr>
          <w:rFonts w:ascii="Times New Roman" w:hAnsi="Times New Roman" w:cs="Times New Roman"/>
          <w:sz w:val="24"/>
        </w:rPr>
        <w:t xml:space="preserve"> (ориентировочно 81%)</w:t>
      </w:r>
      <w:r w:rsidR="00354A12" w:rsidRPr="00354A12">
        <w:rPr>
          <w:rFonts w:ascii="Times New Roman" w:hAnsi="Times New Roman" w:cs="Times New Roman"/>
          <w:sz w:val="24"/>
        </w:rPr>
        <w:t>, вместо 49% субъектов</w:t>
      </w:r>
      <w:r w:rsidR="00507ECE">
        <w:rPr>
          <w:rFonts w:ascii="Times New Roman" w:hAnsi="Times New Roman" w:cs="Times New Roman"/>
          <w:sz w:val="24"/>
        </w:rPr>
        <w:t xml:space="preserve"> на текущую дату</w:t>
      </w:r>
      <w:r w:rsidR="00354A12" w:rsidRPr="00354A12">
        <w:rPr>
          <w:rFonts w:ascii="Times New Roman" w:hAnsi="Times New Roman" w:cs="Times New Roman"/>
          <w:sz w:val="24"/>
        </w:rPr>
        <w:t>.</w:t>
      </w:r>
    </w:p>
    <w:p w:rsidR="004B5D07" w:rsidRDefault="000A0E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Обеспечена техническая возможность подачи заявок на квалификационный отбор организаций, реализующих КППК, через </w:t>
      </w:r>
      <w:r w:rsidR="00507ECE">
        <w:rPr>
          <w:rFonts w:ascii="Times New Roman" w:hAnsi="Times New Roman" w:cs="Times New Roman"/>
          <w:sz w:val="24"/>
          <w:szCs w:val="24"/>
        </w:rPr>
        <w:t>государственную информационную систему «Промышленность»</w:t>
      </w:r>
      <w:r>
        <w:rPr>
          <w:rFonts w:ascii="Times New Roman" w:hAnsi="Times New Roman" w:cs="Times New Roman"/>
          <w:sz w:val="24"/>
          <w:szCs w:val="24"/>
        </w:rPr>
        <w:t>.</w:t>
      </w:r>
    </w:p>
    <w:p w:rsidR="004B5D07" w:rsidRDefault="000A0E31">
      <w:pPr>
        <w:spacing w:after="0" w:line="360" w:lineRule="auto"/>
        <w:ind w:firstLine="709"/>
        <w:jc w:val="both"/>
        <w:rPr>
          <w:rFonts w:ascii="Times New Roman" w:hAnsi="Times New Roman" w:cs="Times New Roman"/>
          <w:sz w:val="24"/>
          <w:szCs w:val="24"/>
        </w:rPr>
      </w:pPr>
      <w:r w:rsidRPr="009546F9">
        <w:rPr>
          <w:rFonts w:ascii="Times New Roman" w:hAnsi="Times New Roman" w:cs="Times New Roman"/>
          <w:sz w:val="24"/>
          <w:szCs w:val="24"/>
        </w:rPr>
        <w:t xml:space="preserve">Тем самым мы достигнем цель </w:t>
      </w:r>
      <w:r w:rsidR="009546F9">
        <w:rPr>
          <w:rFonts w:ascii="Times New Roman" w:hAnsi="Times New Roman" w:cs="Times New Roman"/>
          <w:sz w:val="24"/>
          <w:szCs w:val="24"/>
        </w:rPr>
        <w:t>настоящегопроекта</w:t>
      </w:r>
      <w:r w:rsidRPr="009546F9">
        <w:rPr>
          <w:rFonts w:ascii="Times New Roman" w:hAnsi="Times New Roman" w:cs="Times New Roman"/>
          <w:sz w:val="24"/>
          <w:szCs w:val="24"/>
        </w:rPr>
        <w:t xml:space="preserve">: </w:t>
      </w:r>
      <w:r w:rsidR="009546F9" w:rsidRPr="009546F9">
        <w:rPr>
          <w:rFonts w:ascii="Times New Roman" w:hAnsi="Times New Roman" w:cs="Times New Roman"/>
          <w:sz w:val="24"/>
          <w:szCs w:val="24"/>
        </w:rPr>
        <w:t>у</w:t>
      </w:r>
      <w:r w:rsidRPr="009546F9">
        <w:rPr>
          <w:rFonts w:ascii="Times New Roman" w:hAnsi="Times New Roman" w:cs="Times New Roman"/>
          <w:sz w:val="24"/>
          <w:szCs w:val="24"/>
        </w:rPr>
        <w:t xml:space="preserve">странение процессуальных и правовых </w:t>
      </w:r>
      <w:r w:rsidR="009D2204" w:rsidRPr="009546F9">
        <w:rPr>
          <w:rFonts w:ascii="Times New Roman" w:hAnsi="Times New Roman" w:cs="Times New Roman"/>
          <w:sz w:val="24"/>
          <w:szCs w:val="24"/>
        </w:rPr>
        <w:t>барьеров</w:t>
      </w:r>
      <w:r w:rsidRPr="009546F9">
        <w:rPr>
          <w:rFonts w:ascii="Times New Roman" w:hAnsi="Times New Roman" w:cs="Times New Roman"/>
          <w:sz w:val="24"/>
          <w:szCs w:val="24"/>
        </w:rPr>
        <w:t xml:space="preserve"> реализации </w:t>
      </w:r>
      <w:r w:rsidR="003B457B">
        <w:rPr>
          <w:rFonts w:ascii="Times New Roman" w:hAnsi="Times New Roman" w:cs="Times New Roman"/>
          <w:sz w:val="24"/>
          <w:szCs w:val="24"/>
        </w:rPr>
        <w:t>механизма поддержки КППК.</w:t>
      </w:r>
    </w:p>
    <w:p w:rsidR="004B5D07" w:rsidRDefault="000A0E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Доступность и прозрачность упрощает понимание ситуации, общение и сотрудничество, а также многие другие элементы, из которых состоит реализация сложных проектов и которые могут стать гораздо более понятными, логичными и управляемыми посредством планирования, мониторинга и отчетности.</w:t>
      </w:r>
    </w:p>
    <w:p w:rsidR="004B5D07" w:rsidRDefault="004B5D07">
      <w:pPr>
        <w:spacing w:after="0" w:line="360" w:lineRule="auto"/>
        <w:ind w:firstLine="709"/>
        <w:jc w:val="both"/>
        <w:rPr>
          <w:rFonts w:ascii="Times New Roman" w:hAnsi="Times New Roman" w:cs="Times New Roman"/>
          <w:sz w:val="24"/>
          <w:szCs w:val="24"/>
        </w:rPr>
      </w:pPr>
    </w:p>
    <w:p w:rsidR="004B5D07" w:rsidRDefault="000A0E31" w:rsidP="00672E05">
      <w:pPr>
        <w:pStyle w:val="41"/>
      </w:pPr>
      <w:r>
        <w:t>6. Предложения по внесению изменений в рамках реализации федерального проекта</w:t>
      </w:r>
    </w:p>
    <w:p w:rsidR="004B5D07" w:rsidRDefault="000A0E31">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Предлагаемые проектные решения потребуют изменение следующих документов:</w:t>
      </w:r>
    </w:p>
    <w:p w:rsidR="004B5D07" w:rsidRDefault="000A0E31">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Постановление Правительства Российской Федерации от 23 февраля 2019 г. №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w:t>
      </w:r>
    </w:p>
    <w:p w:rsidR="004B5D07" w:rsidRDefault="000A0E31">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 Приказ Министерства промышленности и торговли Российской Федерации от 20 февраля 2017 г. № 498 «Об определении принадлежности кодов Товарной номенклатуры внешнеэкономической деятельности Евразийского экономического союза (ТН ВЭД ЕАЭС) к структурным подразделениям Министерства промышленности и торговли Российской Федерации».</w:t>
      </w:r>
    </w:p>
    <w:p w:rsidR="004B5D07" w:rsidRDefault="000A0E31">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 Приказ Торгово-промышленной палаты Российской Федерации от 28 декабря 2017 г. №</w:t>
      </w:r>
      <w:r>
        <w:t> </w:t>
      </w:r>
      <w:r>
        <w:rPr>
          <w:rFonts w:ascii="Times New Roman" w:hAnsi="Times New Roman" w:cs="Times New Roman"/>
          <w:sz w:val="24"/>
          <w:szCs w:val="24"/>
        </w:rPr>
        <w:t xml:space="preserve">95 «О торгово-промышленных палатах в Российской Федерации, уполномоченных на реализацию постановления Правительства Российской Федерации от </w:t>
      </w:r>
      <w:r>
        <w:rPr>
          <w:rFonts w:ascii="Times New Roman" w:hAnsi="Times New Roman" w:cs="Times New Roman"/>
          <w:sz w:val="24"/>
          <w:szCs w:val="24"/>
        </w:rPr>
        <w:lastRenderedPageBreak/>
        <w:t>17 июля 2015 г. № 719 «О подтверждении производства промышленной продукции на территории Российской Федерации».</w:t>
      </w:r>
    </w:p>
    <w:p w:rsidR="004B5D07" w:rsidRDefault="000A0E31">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 Приказ Торгово-промышленной палаты Российской Федерации от 30 мая 2018 г. № 52 «Об утверждении Положения о порядке выдачи документов для целей подтверждения производства промышленной продукции на территории Российской Федерации».</w:t>
      </w:r>
    </w:p>
    <w:p w:rsidR="00C9467A" w:rsidRDefault="00C9467A">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 «</w:t>
      </w:r>
      <w:r w:rsidRPr="00C9467A">
        <w:rPr>
          <w:rFonts w:ascii="Times New Roman" w:hAnsi="Times New Roman" w:cs="Times New Roman"/>
          <w:sz w:val="24"/>
          <w:szCs w:val="24"/>
        </w:rPr>
        <w:t>Положение о стандарте деятельности торгово-промышленных палат в Российской Федерации</w:t>
      </w:r>
      <w:r>
        <w:rPr>
          <w:rFonts w:ascii="Times New Roman" w:hAnsi="Times New Roman" w:cs="Times New Roman"/>
          <w:sz w:val="24"/>
          <w:szCs w:val="24"/>
        </w:rPr>
        <w:t>»</w:t>
      </w:r>
      <w:r w:rsidRPr="00C9467A">
        <w:rPr>
          <w:rFonts w:ascii="Times New Roman" w:hAnsi="Times New Roman" w:cs="Times New Roman"/>
          <w:sz w:val="24"/>
          <w:szCs w:val="24"/>
        </w:rPr>
        <w:t xml:space="preserve"> (прило</w:t>
      </w:r>
      <w:r>
        <w:rPr>
          <w:rFonts w:ascii="Times New Roman" w:hAnsi="Times New Roman" w:cs="Times New Roman"/>
          <w:sz w:val="24"/>
          <w:szCs w:val="24"/>
        </w:rPr>
        <w:t>жение 2 к постановлению Совета Торгово-промышленных палат</w:t>
      </w:r>
      <w:r w:rsidRPr="00C9467A">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00240B46" w:rsidRPr="00C9467A">
        <w:rPr>
          <w:rFonts w:ascii="Times New Roman" w:hAnsi="Times New Roman" w:cs="Times New Roman"/>
          <w:sz w:val="24"/>
          <w:szCs w:val="24"/>
        </w:rPr>
        <w:t>Ф</w:t>
      </w:r>
      <w:r w:rsidR="00240B46">
        <w:rPr>
          <w:rFonts w:ascii="Times New Roman" w:hAnsi="Times New Roman" w:cs="Times New Roman"/>
          <w:sz w:val="24"/>
          <w:szCs w:val="24"/>
        </w:rPr>
        <w:t>едерации</w:t>
      </w:r>
      <w:r>
        <w:rPr>
          <w:rFonts w:ascii="Times New Roman" w:hAnsi="Times New Roman" w:cs="Times New Roman"/>
          <w:sz w:val="24"/>
          <w:szCs w:val="24"/>
        </w:rPr>
        <w:t xml:space="preserve"> от 21 июня </w:t>
      </w:r>
      <w:r w:rsidRPr="00C9467A">
        <w:rPr>
          <w:rFonts w:ascii="Times New Roman" w:hAnsi="Times New Roman" w:cs="Times New Roman"/>
          <w:sz w:val="24"/>
          <w:szCs w:val="24"/>
        </w:rPr>
        <w:t>2017</w:t>
      </w:r>
      <w:r>
        <w:rPr>
          <w:rFonts w:ascii="Times New Roman" w:hAnsi="Times New Roman" w:cs="Times New Roman"/>
          <w:sz w:val="24"/>
          <w:szCs w:val="24"/>
        </w:rPr>
        <w:t xml:space="preserve"> г.</w:t>
      </w:r>
      <w:r w:rsidRPr="00C9467A">
        <w:rPr>
          <w:rFonts w:ascii="Times New Roman" w:hAnsi="Times New Roman" w:cs="Times New Roman"/>
          <w:sz w:val="24"/>
          <w:szCs w:val="24"/>
        </w:rPr>
        <w:t xml:space="preserve"> N 24-5)</w:t>
      </w:r>
      <w:r>
        <w:rPr>
          <w:rFonts w:ascii="Times New Roman" w:hAnsi="Times New Roman" w:cs="Times New Roman"/>
          <w:sz w:val="24"/>
          <w:szCs w:val="24"/>
        </w:rPr>
        <w:t>.</w:t>
      </w:r>
    </w:p>
    <w:p w:rsidR="004B5D07" w:rsidRDefault="00C9467A">
      <w:pPr>
        <w:spacing w:after="0" w:line="360" w:lineRule="auto"/>
        <w:ind w:firstLine="709"/>
        <w:contextualSpacing/>
        <w:jc w:val="both"/>
        <w:rPr>
          <w:rFonts w:ascii="Times New Roman" w:hAnsi="Times New Roman" w:cs="Times New Roman"/>
          <w:sz w:val="24"/>
          <w:szCs w:val="24"/>
        </w:rPr>
      </w:pPr>
      <w:r w:rsidRPr="00C9467A">
        <w:rPr>
          <w:rFonts w:ascii="Times New Roman" w:hAnsi="Times New Roman" w:cs="Times New Roman"/>
          <w:sz w:val="24"/>
          <w:szCs w:val="24"/>
        </w:rPr>
        <w:t>6</w:t>
      </w:r>
      <w:r w:rsidR="000A0E31">
        <w:rPr>
          <w:rFonts w:ascii="Times New Roman" w:hAnsi="Times New Roman" w:cs="Times New Roman"/>
          <w:sz w:val="24"/>
          <w:szCs w:val="24"/>
        </w:rPr>
        <w:t>. Паспорт федерального проекта «Промышленный экспорт».</w:t>
      </w:r>
    </w:p>
    <w:p w:rsidR="004B5D07" w:rsidRDefault="004B5D07">
      <w:pPr>
        <w:spacing w:after="0" w:line="360" w:lineRule="auto"/>
        <w:ind w:firstLine="709"/>
        <w:jc w:val="both"/>
        <w:rPr>
          <w:rFonts w:ascii="Times New Roman" w:hAnsi="Times New Roman" w:cs="Times New Roman"/>
          <w:sz w:val="24"/>
          <w:szCs w:val="24"/>
        </w:rPr>
      </w:pPr>
    </w:p>
    <w:p w:rsidR="004B5D07" w:rsidRDefault="000A0E31" w:rsidP="00672E05">
      <w:pPr>
        <w:pStyle w:val="41"/>
      </w:pPr>
      <w:r>
        <w:t>7. Команда проекта</w:t>
      </w:r>
    </w:p>
    <w:p w:rsidR="004B5D07" w:rsidRDefault="000A0E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Волкова Майя Геннадиевна – старший управляющий директор Блока агента Правительства РФ государственная корпорация развития «ВЭБ.РФ» (перспективный уровень резерва).</w:t>
      </w:r>
    </w:p>
    <w:p w:rsidR="004B5D07" w:rsidRDefault="000A0E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Волынский Анатолий Владимирович – главный консультант отдела анализа и мониторинга деятельности предприятий промышленности в управлении промышленного производства Министерства промышленности и торговли Тверской области (перспективный уровень резерва).</w:t>
      </w:r>
    </w:p>
    <w:p w:rsidR="004B5D07" w:rsidRDefault="000A0E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Дмитриева Татьяна Сергеевна – консультант отдела промышленной политики и инвестиций Министерства промышленности, науки и новых технологий Республики Мордовия (перспективный уровень резерва).</w:t>
      </w:r>
    </w:p>
    <w:p w:rsidR="004B5D07" w:rsidRDefault="000A0E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Латышова Ирина Александровна – консультант отдела развития отраслей растениеводства Министерства сельского хозяйства и продовольствия Республики Мордовия (перспективный уровень резерва).</w:t>
      </w:r>
    </w:p>
    <w:p w:rsidR="004B5D07" w:rsidRDefault="000A0E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Ротанова Зоя Владимировна – начальник отдела бюджетной политики Департамента  бюджетной политики и межбюджетных отношений Министерства финансов Калининградской области (базовый уровень резерва).</w:t>
      </w:r>
    </w:p>
    <w:p w:rsidR="004B5D07" w:rsidRDefault="000A0E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Титаренко Дмитрий Викторович – заместитель начальника отдела промышленного развития и сопровождения инвестиционных проектов Министерства развития промышленности и предпринимательства Мурманской области (перспективный уровень резерва).</w:t>
      </w:r>
    </w:p>
    <w:p w:rsidR="004B5D07" w:rsidRDefault="000A0E3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Чура Иван Витальевич – начальник отдела инвестиционной политики управления инвестиций Министерства экономики Омской области (перспективный уровень резерва).</w:t>
      </w:r>
    </w:p>
    <w:p w:rsidR="004B5D07" w:rsidRDefault="004B5D07">
      <w:pPr>
        <w:spacing w:after="0" w:line="360" w:lineRule="auto"/>
        <w:ind w:firstLine="709"/>
        <w:jc w:val="both"/>
        <w:rPr>
          <w:rFonts w:ascii="Times New Roman" w:hAnsi="Times New Roman" w:cs="Times New Roman"/>
          <w:sz w:val="24"/>
          <w:szCs w:val="24"/>
        </w:rPr>
      </w:pPr>
    </w:p>
    <w:p w:rsidR="004B5D07" w:rsidRDefault="000A0E31" w:rsidP="00672E05">
      <w:pPr>
        <w:pStyle w:val="41"/>
        <w:pageBreakBefore/>
      </w:pPr>
      <w:r>
        <w:lastRenderedPageBreak/>
        <w:t>Список литературы</w:t>
      </w:r>
    </w:p>
    <w:p w:rsidR="004B5D07" w:rsidRDefault="000A0E31" w:rsidP="00240B46">
      <w:pPr>
        <w:numPr>
          <w:ilvl w:val="0"/>
          <w:numId w:val="4"/>
        </w:numPr>
        <w:tabs>
          <w:tab w:val="left" w:pos="284"/>
          <w:tab w:val="left" w:pos="993"/>
        </w:tabs>
        <w:spacing w:after="0" w:line="360" w:lineRule="auto"/>
        <w:ind w:left="0" w:firstLine="709"/>
        <w:jc w:val="both"/>
        <w:rPr>
          <w:rFonts w:ascii="Times New Roman" w:hAnsi="Times New Roman" w:cs="Times New Roman"/>
          <w:sz w:val="24"/>
        </w:rPr>
      </w:pPr>
      <w:r>
        <w:rPr>
          <w:rFonts w:ascii="Times New Roman" w:hAnsi="Times New Roman" w:cs="Times New Roman"/>
          <w:sz w:val="24"/>
        </w:rPr>
        <w:t>Закон Российской Федерации от 07.07.1993 г. № 5340-1 «О торгово-промышленных палатах в Российской Федерации».</w:t>
      </w:r>
    </w:p>
    <w:p w:rsidR="004B5D07" w:rsidRDefault="000A0E31" w:rsidP="00240B46">
      <w:pPr>
        <w:numPr>
          <w:ilvl w:val="0"/>
          <w:numId w:val="4"/>
        </w:numPr>
        <w:tabs>
          <w:tab w:val="left" w:pos="284"/>
          <w:tab w:val="left" w:pos="993"/>
        </w:tabs>
        <w:spacing w:after="0" w:line="360" w:lineRule="auto"/>
        <w:ind w:left="0" w:firstLine="709"/>
        <w:jc w:val="both"/>
        <w:rPr>
          <w:rFonts w:ascii="Times New Roman" w:hAnsi="Times New Roman" w:cs="Times New Roman"/>
          <w:sz w:val="24"/>
        </w:rPr>
      </w:pPr>
      <w:r>
        <w:rPr>
          <w:rFonts w:ascii="Times New Roman" w:hAnsi="Times New Roman" w:cs="Times New Roman"/>
          <w:sz w:val="24"/>
        </w:rPr>
        <w:t>Указ Президента Российской Федерации от 07.05.2018 г. № 204 «О национальных целях и стратегических задачах развития Российской Федерации на период до 2024 года»;</w:t>
      </w:r>
    </w:p>
    <w:p w:rsidR="004B5D07" w:rsidRDefault="000A0E31" w:rsidP="00240B46">
      <w:pPr>
        <w:numPr>
          <w:ilvl w:val="0"/>
          <w:numId w:val="4"/>
        </w:numPr>
        <w:tabs>
          <w:tab w:val="left" w:pos="284"/>
          <w:tab w:val="left" w:pos="993"/>
        </w:tabs>
        <w:spacing w:after="0" w:line="360" w:lineRule="auto"/>
        <w:ind w:left="0" w:firstLine="709"/>
        <w:jc w:val="both"/>
        <w:rPr>
          <w:rFonts w:ascii="Times New Roman" w:hAnsi="Times New Roman" w:cs="Times New Roman"/>
          <w:sz w:val="24"/>
        </w:rPr>
      </w:pPr>
      <w:r>
        <w:rPr>
          <w:rFonts w:ascii="Times New Roman" w:hAnsi="Times New Roman" w:cs="Times New Roman"/>
          <w:sz w:val="24"/>
        </w:rPr>
        <w:t>Паспорт национального проекта (программы) «Международная кооперация и экспорт» (утвержден президиумом Совета при Президенте Российской Федерации по стратегическому развитию и национальным проектам (протокол от 24.12.2018 г. № 16).</w:t>
      </w:r>
    </w:p>
    <w:p w:rsidR="004B5D07" w:rsidRDefault="000A0E31" w:rsidP="00240B46">
      <w:pPr>
        <w:numPr>
          <w:ilvl w:val="0"/>
          <w:numId w:val="4"/>
        </w:numPr>
        <w:tabs>
          <w:tab w:val="left" w:pos="284"/>
          <w:tab w:val="left" w:pos="993"/>
        </w:tabs>
        <w:spacing w:after="0" w:line="360" w:lineRule="auto"/>
        <w:ind w:left="0" w:firstLine="709"/>
        <w:jc w:val="both"/>
        <w:rPr>
          <w:rFonts w:ascii="Times New Roman" w:hAnsi="Times New Roman" w:cs="Times New Roman"/>
          <w:sz w:val="24"/>
        </w:rPr>
      </w:pPr>
      <w:r>
        <w:rPr>
          <w:rFonts w:ascii="Times New Roman" w:hAnsi="Times New Roman" w:cs="Times New Roman"/>
          <w:sz w:val="24"/>
        </w:rPr>
        <w:t>Постановление Правительства Российской Федерации от 17.07.2015 г. № 719 «О подтверждении производства промышленной продукции на территории Российской Федерации».</w:t>
      </w:r>
    </w:p>
    <w:p w:rsidR="004B5D07" w:rsidRDefault="000A0E31" w:rsidP="00240B46">
      <w:pPr>
        <w:numPr>
          <w:ilvl w:val="0"/>
          <w:numId w:val="4"/>
        </w:numPr>
        <w:tabs>
          <w:tab w:val="left" w:pos="284"/>
          <w:tab w:val="left" w:pos="993"/>
        </w:tabs>
        <w:spacing w:after="0" w:line="360" w:lineRule="auto"/>
        <w:ind w:left="0" w:firstLine="709"/>
        <w:jc w:val="both"/>
        <w:rPr>
          <w:rFonts w:ascii="Times New Roman" w:hAnsi="Times New Roman" w:cs="Times New Roman"/>
          <w:sz w:val="24"/>
        </w:rPr>
      </w:pPr>
      <w:r>
        <w:rPr>
          <w:rFonts w:ascii="Times New Roman" w:hAnsi="Times New Roman" w:cs="Times New Roman"/>
          <w:sz w:val="24"/>
        </w:rPr>
        <w:t>Постановление Правительства Российской Федерации от 23.02.2019 г. №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w:t>
      </w:r>
    </w:p>
    <w:p w:rsidR="004B5D07" w:rsidRDefault="000A0E31" w:rsidP="00240B46">
      <w:pPr>
        <w:numPr>
          <w:ilvl w:val="0"/>
          <w:numId w:val="4"/>
        </w:numPr>
        <w:tabs>
          <w:tab w:val="left" w:pos="284"/>
          <w:tab w:val="left" w:pos="993"/>
        </w:tabs>
        <w:spacing w:after="0" w:line="360" w:lineRule="auto"/>
        <w:ind w:left="0" w:firstLine="709"/>
        <w:jc w:val="both"/>
        <w:rPr>
          <w:rFonts w:ascii="Times New Roman" w:hAnsi="Times New Roman" w:cs="Times New Roman"/>
          <w:sz w:val="24"/>
        </w:rPr>
      </w:pPr>
      <w:r>
        <w:rPr>
          <w:rFonts w:ascii="Times New Roman" w:hAnsi="Times New Roman" w:cs="Times New Roman"/>
          <w:sz w:val="24"/>
        </w:rPr>
        <w:t>Приказ Министерства промышленности и торговли Российской Федерации от 20.02.2017 г. № 498 «Об определении принадлежности кодов Товарной номенклатуры внешнеэкономической деятельности Евразийского экономического союза (ТН ВЭД ЕАЭС) к структурным подразделениям Министерства промышленности и торговли Российской Федерации».</w:t>
      </w:r>
    </w:p>
    <w:p w:rsidR="004B5D07" w:rsidRDefault="000A0E31" w:rsidP="00240B46">
      <w:pPr>
        <w:numPr>
          <w:ilvl w:val="0"/>
          <w:numId w:val="4"/>
        </w:numPr>
        <w:tabs>
          <w:tab w:val="left" w:pos="284"/>
          <w:tab w:val="left" w:pos="993"/>
        </w:tabs>
        <w:spacing w:after="0" w:line="360" w:lineRule="auto"/>
        <w:ind w:left="0" w:firstLine="709"/>
        <w:jc w:val="both"/>
        <w:rPr>
          <w:rFonts w:ascii="Times New Roman" w:hAnsi="Times New Roman" w:cs="Times New Roman"/>
          <w:sz w:val="24"/>
        </w:rPr>
      </w:pPr>
      <w:r>
        <w:rPr>
          <w:rFonts w:ascii="Times New Roman" w:hAnsi="Times New Roman" w:cs="Times New Roman"/>
          <w:sz w:val="24"/>
        </w:rPr>
        <w:t>Приказ Министерства промышленности и торговли Российской Федерации от 29.03.2019 г. № 1021 «Об утверждении перечня продукции для целей реализации государственной поддержки организаций, реализующих корпоративные программы повышения конкурентоспособности».</w:t>
      </w:r>
    </w:p>
    <w:p w:rsidR="004B5D07" w:rsidRDefault="000A0E31" w:rsidP="00240B46">
      <w:pPr>
        <w:numPr>
          <w:ilvl w:val="0"/>
          <w:numId w:val="4"/>
        </w:numPr>
        <w:tabs>
          <w:tab w:val="left" w:pos="284"/>
          <w:tab w:val="left" w:pos="993"/>
        </w:tabs>
        <w:spacing w:after="0" w:line="360" w:lineRule="auto"/>
        <w:ind w:left="0" w:firstLine="709"/>
        <w:jc w:val="both"/>
        <w:rPr>
          <w:rFonts w:ascii="Times New Roman" w:hAnsi="Times New Roman" w:cs="Times New Roman"/>
          <w:sz w:val="24"/>
        </w:rPr>
      </w:pPr>
      <w:r>
        <w:rPr>
          <w:rFonts w:ascii="Times New Roman" w:hAnsi="Times New Roman" w:cs="Times New Roman"/>
          <w:sz w:val="24"/>
        </w:rPr>
        <w:t>Приказ Торгово-промышленной палаты Российской Федерации от 28.12.2017 г. № 95 «О торгово-промышленных палатах в Российской Федерации, уполномоченных на реализацию постановления Правительства Российской Федерации от 17.07.2015 г. № 719 «О подтверждении производства промышленной продукции на территории Российской Федерации».</w:t>
      </w:r>
    </w:p>
    <w:p w:rsidR="004B5D07" w:rsidRDefault="000A0E31" w:rsidP="00240B46">
      <w:pPr>
        <w:numPr>
          <w:ilvl w:val="0"/>
          <w:numId w:val="4"/>
        </w:numPr>
        <w:tabs>
          <w:tab w:val="left" w:pos="284"/>
          <w:tab w:val="left" w:pos="993"/>
        </w:tabs>
        <w:spacing w:after="0" w:line="360" w:lineRule="auto"/>
        <w:ind w:left="0" w:firstLine="709"/>
        <w:jc w:val="both"/>
        <w:rPr>
          <w:rFonts w:ascii="Times New Roman" w:hAnsi="Times New Roman" w:cs="Times New Roman"/>
          <w:sz w:val="24"/>
        </w:rPr>
      </w:pPr>
      <w:r>
        <w:rPr>
          <w:rFonts w:ascii="Times New Roman" w:hAnsi="Times New Roman" w:cs="Times New Roman"/>
          <w:sz w:val="24"/>
        </w:rPr>
        <w:t xml:space="preserve">Приказ Торгово-промышленной палаты Российской Федерации от 30.05.2018 г. № 52 «Об утверждении Положения о порядке выдачи документов для целей </w:t>
      </w:r>
      <w:r>
        <w:rPr>
          <w:rFonts w:ascii="Times New Roman" w:hAnsi="Times New Roman" w:cs="Times New Roman"/>
          <w:sz w:val="24"/>
        </w:rPr>
        <w:lastRenderedPageBreak/>
        <w:t>подтверждения производства промышленной продукции на территории Российской Федерации».</w:t>
      </w:r>
    </w:p>
    <w:p w:rsidR="00240B46" w:rsidRPr="000220A7" w:rsidRDefault="00240B46" w:rsidP="00240B46">
      <w:pPr>
        <w:pStyle w:val="a3"/>
        <w:numPr>
          <w:ilvl w:val="0"/>
          <w:numId w:val="4"/>
        </w:numPr>
        <w:spacing w:after="0" w:line="360" w:lineRule="auto"/>
        <w:ind w:left="0" w:firstLine="851"/>
        <w:jc w:val="both"/>
        <w:rPr>
          <w:rFonts w:ascii="Times New Roman" w:hAnsi="Times New Roman" w:cs="Times New Roman"/>
          <w:sz w:val="24"/>
          <w:szCs w:val="24"/>
        </w:rPr>
      </w:pPr>
      <w:r w:rsidRPr="000220A7">
        <w:rPr>
          <w:rFonts w:ascii="Times New Roman" w:hAnsi="Times New Roman" w:cs="Times New Roman"/>
          <w:sz w:val="24"/>
          <w:szCs w:val="24"/>
        </w:rPr>
        <w:t>«Положение о стандарте деятельности торгово-промышленных палат в Российской Федерации» (приложение 2 к постановлению Совета Торгово-промышленных палат Российской Федерации от 21 июня 2017 г. N 24-5).</w:t>
      </w:r>
    </w:p>
    <w:p w:rsidR="00240B46" w:rsidRPr="000220A7" w:rsidRDefault="00240B46" w:rsidP="00C61F4F">
      <w:pPr>
        <w:numPr>
          <w:ilvl w:val="0"/>
          <w:numId w:val="4"/>
        </w:numPr>
        <w:tabs>
          <w:tab w:val="left" w:pos="709"/>
          <w:tab w:val="left" w:pos="993"/>
        </w:tabs>
        <w:spacing w:after="0" w:line="360" w:lineRule="auto"/>
        <w:ind w:left="0" w:firstLine="709"/>
        <w:jc w:val="both"/>
        <w:rPr>
          <w:rFonts w:ascii="Times New Roman" w:hAnsi="Times New Roman" w:cs="Times New Roman"/>
          <w:sz w:val="24"/>
          <w:szCs w:val="24"/>
        </w:rPr>
      </w:pPr>
      <w:r w:rsidRPr="000220A7">
        <w:rPr>
          <w:rFonts w:ascii="Times New Roman" w:hAnsi="Times New Roman" w:cs="Times New Roman"/>
          <w:sz w:val="24"/>
          <w:szCs w:val="24"/>
        </w:rPr>
        <w:t xml:space="preserve">Официальный сайт Торгово-промышленной палаты Российской Федерации </w:t>
      </w:r>
      <w:hyperlink w:history="1">
        <w:r w:rsidRPr="000220A7">
          <w:rPr>
            <w:rStyle w:val="af9"/>
            <w:rFonts w:ascii="Times New Roman" w:hAnsi="Times New Roman" w:cs="Times New Roman"/>
            <w:color w:val="auto"/>
            <w:sz w:val="24"/>
            <w:szCs w:val="24"/>
            <w:u w:val="none"/>
          </w:rPr>
          <w:t xml:space="preserve"> www.tpprf.ru</w:t>
        </w:r>
      </w:hyperlink>
      <w:r w:rsidRPr="000220A7">
        <w:rPr>
          <w:rFonts w:ascii="Times New Roman" w:hAnsi="Times New Roman" w:cs="Times New Roman"/>
          <w:sz w:val="24"/>
          <w:szCs w:val="24"/>
        </w:rPr>
        <w:t xml:space="preserve">. </w:t>
      </w:r>
    </w:p>
    <w:p w:rsidR="004B5D07" w:rsidRPr="000220A7" w:rsidRDefault="000A0E31" w:rsidP="00240B46">
      <w:pPr>
        <w:numPr>
          <w:ilvl w:val="0"/>
          <w:numId w:val="4"/>
        </w:numPr>
        <w:tabs>
          <w:tab w:val="left" w:pos="851"/>
          <w:tab w:val="left" w:pos="1134"/>
        </w:tabs>
        <w:spacing w:after="0" w:line="360" w:lineRule="auto"/>
        <w:ind w:left="0" w:firstLine="709"/>
        <w:jc w:val="both"/>
        <w:rPr>
          <w:rFonts w:ascii="Times New Roman" w:hAnsi="Times New Roman" w:cs="Times New Roman"/>
          <w:sz w:val="24"/>
          <w:szCs w:val="24"/>
        </w:rPr>
      </w:pPr>
      <w:r w:rsidRPr="000220A7">
        <w:rPr>
          <w:rFonts w:ascii="Times New Roman" w:hAnsi="Times New Roman" w:cs="Times New Roman"/>
          <w:sz w:val="24"/>
          <w:szCs w:val="24"/>
        </w:rPr>
        <w:t xml:space="preserve">Официальный сайт Минпромторга России </w:t>
      </w:r>
      <w:hyperlink r:id="rId13" w:history="1">
        <w:r w:rsidRPr="000220A7">
          <w:rPr>
            <w:rStyle w:val="af9"/>
            <w:rFonts w:ascii="Times New Roman" w:hAnsi="Times New Roman" w:cs="Times New Roman"/>
            <w:color w:val="auto"/>
            <w:sz w:val="24"/>
            <w:szCs w:val="24"/>
            <w:u w:val="none"/>
            <w:lang w:val="en-US"/>
          </w:rPr>
          <w:t>www</w:t>
        </w:r>
        <w:r w:rsidRPr="000220A7">
          <w:rPr>
            <w:rStyle w:val="af9"/>
            <w:rFonts w:ascii="Times New Roman" w:hAnsi="Times New Roman" w:cs="Times New Roman"/>
            <w:color w:val="auto"/>
            <w:sz w:val="24"/>
            <w:szCs w:val="24"/>
            <w:u w:val="none"/>
          </w:rPr>
          <w:t>.minpromtorg.gov.ru</w:t>
        </w:r>
      </w:hyperlink>
      <w:r w:rsidRPr="000220A7">
        <w:rPr>
          <w:rFonts w:ascii="Times New Roman" w:hAnsi="Times New Roman" w:cs="Times New Roman"/>
          <w:sz w:val="24"/>
          <w:szCs w:val="24"/>
        </w:rPr>
        <w:t xml:space="preserve">. </w:t>
      </w:r>
    </w:p>
    <w:p w:rsidR="004B5D07" w:rsidRPr="000220A7" w:rsidRDefault="000A0E31" w:rsidP="00240B46">
      <w:pPr>
        <w:spacing w:after="0" w:line="360" w:lineRule="auto"/>
        <w:ind w:firstLine="709"/>
        <w:jc w:val="both"/>
        <w:rPr>
          <w:rFonts w:ascii="Times New Roman" w:hAnsi="Times New Roman" w:cs="Times New Roman"/>
          <w:sz w:val="24"/>
          <w:szCs w:val="24"/>
        </w:rPr>
      </w:pPr>
      <w:r w:rsidRPr="000220A7">
        <w:rPr>
          <w:rFonts w:ascii="Times New Roman" w:hAnsi="Times New Roman" w:cs="Times New Roman"/>
          <w:sz w:val="24"/>
          <w:szCs w:val="24"/>
        </w:rPr>
        <w:t>1</w:t>
      </w:r>
      <w:r w:rsidR="00240B46" w:rsidRPr="000220A7">
        <w:rPr>
          <w:rFonts w:ascii="Times New Roman" w:hAnsi="Times New Roman" w:cs="Times New Roman"/>
          <w:sz w:val="24"/>
          <w:szCs w:val="24"/>
        </w:rPr>
        <w:t>4</w:t>
      </w:r>
      <w:r w:rsidRPr="000220A7">
        <w:rPr>
          <w:rFonts w:ascii="Times New Roman" w:hAnsi="Times New Roman" w:cs="Times New Roman"/>
          <w:sz w:val="24"/>
          <w:szCs w:val="24"/>
        </w:rPr>
        <w:t xml:space="preserve">. Официальный сайт АО «Российский экспортный центр»: </w:t>
      </w:r>
      <w:hyperlink r:id="rId14" w:history="1">
        <w:r w:rsidRPr="000220A7">
          <w:rPr>
            <w:rStyle w:val="af9"/>
            <w:rFonts w:ascii="Times New Roman" w:hAnsi="Times New Roman" w:cs="Times New Roman"/>
            <w:color w:val="auto"/>
            <w:sz w:val="24"/>
            <w:szCs w:val="24"/>
            <w:u w:val="none"/>
          </w:rPr>
          <w:t>www.exportcenter.ru</w:t>
        </w:r>
      </w:hyperlink>
      <w:r w:rsidRPr="000220A7">
        <w:rPr>
          <w:rFonts w:ascii="Times New Roman" w:hAnsi="Times New Roman" w:cs="Times New Roman"/>
          <w:sz w:val="24"/>
          <w:szCs w:val="24"/>
        </w:rPr>
        <w:t>.</w:t>
      </w:r>
    </w:p>
    <w:sectPr w:rsidR="004B5D07" w:rsidRPr="000220A7" w:rsidSect="001759CE">
      <w:footerReference w:type="default" r:id="rId15"/>
      <w:pgSz w:w="11906" w:h="16838"/>
      <w:pgMar w:top="1134" w:right="851" w:bottom="1134" w:left="1701"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9FD" w:rsidRDefault="00A639FD">
      <w:pPr>
        <w:spacing w:after="0" w:line="240" w:lineRule="auto"/>
      </w:pPr>
      <w:r>
        <w:separator/>
      </w:r>
    </w:p>
  </w:endnote>
  <w:endnote w:type="continuationSeparator" w:id="1">
    <w:p w:rsidR="00A639FD" w:rsidRDefault="00A639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07" w:rsidRDefault="00E617E8">
    <w:pPr>
      <w:pStyle w:val="afe"/>
      <w:jc w:val="right"/>
      <w:rPr>
        <w:rFonts w:ascii="Times New Roman" w:hAnsi="Times New Roman" w:cs="Times New Roman"/>
      </w:rPr>
    </w:pPr>
    <w:r>
      <w:fldChar w:fldCharType="begin"/>
    </w:r>
    <w:r w:rsidR="000A0E31">
      <w:instrText>PAGE   \* MERGEFORMAT</w:instrText>
    </w:r>
    <w:r>
      <w:fldChar w:fldCharType="separate"/>
    </w:r>
    <w:r w:rsidR="00700B62" w:rsidRPr="00700B62">
      <w:rPr>
        <w:rFonts w:ascii="Times New Roman" w:hAnsi="Times New Roman" w:cs="Times New Roman"/>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9FD" w:rsidRDefault="00A639FD">
      <w:pPr>
        <w:spacing w:after="0" w:line="240" w:lineRule="auto"/>
      </w:pPr>
      <w:r>
        <w:separator/>
      </w:r>
    </w:p>
  </w:footnote>
  <w:footnote w:type="continuationSeparator" w:id="1">
    <w:p w:rsidR="00A639FD" w:rsidRDefault="00A639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497"/>
    <w:multiLevelType w:val="hybridMultilevel"/>
    <w:tmpl w:val="40403B9C"/>
    <w:lvl w:ilvl="0" w:tplc="2BACBC0E">
      <w:start w:val="1"/>
      <w:numFmt w:val="decimal"/>
      <w:lvlText w:val="%1)"/>
      <w:lvlJc w:val="left"/>
      <w:pPr>
        <w:ind w:left="1069" w:hanging="360"/>
      </w:pPr>
    </w:lvl>
    <w:lvl w:ilvl="1" w:tplc="14544C28">
      <w:start w:val="1"/>
      <w:numFmt w:val="lowerLetter"/>
      <w:lvlText w:val="%2."/>
      <w:lvlJc w:val="left"/>
      <w:pPr>
        <w:ind w:left="1789" w:hanging="360"/>
      </w:pPr>
    </w:lvl>
    <w:lvl w:ilvl="2" w:tplc="2FC4D188">
      <w:start w:val="1"/>
      <w:numFmt w:val="lowerRoman"/>
      <w:lvlText w:val="%3."/>
      <w:lvlJc w:val="right"/>
      <w:pPr>
        <w:ind w:left="2509" w:hanging="180"/>
      </w:pPr>
    </w:lvl>
    <w:lvl w:ilvl="3" w:tplc="E3AA751A">
      <w:start w:val="1"/>
      <w:numFmt w:val="decimal"/>
      <w:lvlText w:val="%4."/>
      <w:lvlJc w:val="left"/>
      <w:pPr>
        <w:ind w:left="3229" w:hanging="360"/>
      </w:pPr>
    </w:lvl>
    <w:lvl w:ilvl="4" w:tplc="E7B48A08">
      <w:start w:val="1"/>
      <w:numFmt w:val="lowerLetter"/>
      <w:lvlText w:val="%5."/>
      <w:lvlJc w:val="left"/>
      <w:pPr>
        <w:ind w:left="3949" w:hanging="360"/>
      </w:pPr>
    </w:lvl>
    <w:lvl w:ilvl="5" w:tplc="004A51F8">
      <w:start w:val="1"/>
      <w:numFmt w:val="lowerRoman"/>
      <w:lvlText w:val="%6."/>
      <w:lvlJc w:val="right"/>
      <w:pPr>
        <w:ind w:left="4669" w:hanging="180"/>
      </w:pPr>
    </w:lvl>
    <w:lvl w:ilvl="6" w:tplc="0F186D94">
      <w:start w:val="1"/>
      <w:numFmt w:val="decimal"/>
      <w:lvlText w:val="%7."/>
      <w:lvlJc w:val="left"/>
      <w:pPr>
        <w:ind w:left="5389" w:hanging="360"/>
      </w:pPr>
    </w:lvl>
    <w:lvl w:ilvl="7" w:tplc="2FD2EAF4">
      <w:start w:val="1"/>
      <w:numFmt w:val="lowerLetter"/>
      <w:lvlText w:val="%8."/>
      <w:lvlJc w:val="left"/>
      <w:pPr>
        <w:ind w:left="6109" w:hanging="360"/>
      </w:pPr>
    </w:lvl>
    <w:lvl w:ilvl="8" w:tplc="27984006">
      <w:start w:val="1"/>
      <w:numFmt w:val="lowerRoman"/>
      <w:lvlText w:val="%9."/>
      <w:lvlJc w:val="right"/>
      <w:pPr>
        <w:ind w:left="6829" w:hanging="180"/>
      </w:pPr>
    </w:lvl>
  </w:abstractNum>
  <w:abstractNum w:abstractNumId="1">
    <w:nsid w:val="1C953063"/>
    <w:multiLevelType w:val="hybridMultilevel"/>
    <w:tmpl w:val="FE083226"/>
    <w:lvl w:ilvl="0" w:tplc="600E75FE">
      <w:start w:val="1"/>
      <w:numFmt w:val="bullet"/>
      <w:lvlText w:val="-"/>
      <w:lvlJc w:val="left"/>
      <w:pPr>
        <w:tabs>
          <w:tab w:val="num" w:pos="720"/>
        </w:tabs>
        <w:ind w:left="720" w:hanging="360"/>
      </w:pPr>
      <w:rPr>
        <w:rFonts w:ascii="Times New Roman" w:hAnsi="Times New Roman"/>
      </w:rPr>
    </w:lvl>
    <w:lvl w:ilvl="1" w:tplc="31EC925A">
      <w:start w:val="1"/>
      <w:numFmt w:val="bullet"/>
      <w:lvlText w:val="-"/>
      <w:lvlJc w:val="left"/>
      <w:pPr>
        <w:tabs>
          <w:tab w:val="num" w:pos="1440"/>
        </w:tabs>
        <w:ind w:left="1440" w:hanging="360"/>
      </w:pPr>
      <w:rPr>
        <w:rFonts w:ascii="Times New Roman" w:hAnsi="Times New Roman"/>
      </w:rPr>
    </w:lvl>
    <w:lvl w:ilvl="2" w:tplc="ECBA2252">
      <w:start w:val="1"/>
      <w:numFmt w:val="bullet"/>
      <w:lvlText w:val="-"/>
      <w:lvlJc w:val="left"/>
      <w:pPr>
        <w:tabs>
          <w:tab w:val="num" w:pos="2160"/>
        </w:tabs>
        <w:ind w:left="2160" w:hanging="360"/>
      </w:pPr>
      <w:rPr>
        <w:rFonts w:ascii="Times New Roman" w:hAnsi="Times New Roman"/>
      </w:rPr>
    </w:lvl>
    <w:lvl w:ilvl="3" w:tplc="1898D254">
      <w:start w:val="1"/>
      <w:numFmt w:val="bullet"/>
      <w:lvlText w:val="-"/>
      <w:lvlJc w:val="left"/>
      <w:pPr>
        <w:tabs>
          <w:tab w:val="num" w:pos="2880"/>
        </w:tabs>
        <w:ind w:left="2880" w:hanging="360"/>
      </w:pPr>
      <w:rPr>
        <w:rFonts w:ascii="Times New Roman" w:hAnsi="Times New Roman"/>
      </w:rPr>
    </w:lvl>
    <w:lvl w:ilvl="4" w:tplc="93083526">
      <w:start w:val="1"/>
      <w:numFmt w:val="bullet"/>
      <w:lvlText w:val="-"/>
      <w:lvlJc w:val="left"/>
      <w:pPr>
        <w:tabs>
          <w:tab w:val="num" w:pos="3600"/>
        </w:tabs>
        <w:ind w:left="3600" w:hanging="360"/>
      </w:pPr>
      <w:rPr>
        <w:rFonts w:ascii="Times New Roman" w:hAnsi="Times New Roman"/>
      </w:rPr>
    </w:lvl>
    <w:lvl w:ilvl="5" w:tplc="7E3AED14">
      <w:start w:val="1"/>
      <w:numFmt w:val="bullet"/>
      <w:lvlText w:val="-"/>
      <w:lvlJc w:val="left"/>
      <w:pPr>
        <w:tabs>
          <w:tab w:val="num" w:pos="4320"/>
        </w:tabs>
        <w:ind w:left="4320" w:hanging="360"/>
      </w:pPr>
      <w:rPr>
        <w:rFonts w:ascii="Times New Roman" w:hAnsi="Times New Roman"/>
      </w:rPr>
    </w:lvl>
    <w:lvl w:ilvl="6" w:tplc="C79AD7B4">
      <w:start w:val="1"/>
      <w:numFmt w:val="bullet"/>
      <w:lvlText w:val="-"/>
      <w:lvlJc w:val="left"/>
      <w:pPr>
        <w:tabs>
          <w:tab w:val="num" w:pos="5040"/>
        </w:tabs>
        <w:ind w:left="5040" w:hanging="360"/>
      </w:pPr>
      <w:rPr>
        <w:rFonts w:ascii="Times New Roman" w:hAnsi="Times New Roman"/>
      </w:rPr>
    </w:lvl>
    <w:lvl w:ilvl="7" w:tplc="8D1AAE7A">
      <w:start w:val="1"/>
      <w:numFmt w:val="bullet"/>
      <w:lvlText w:val="-"/>
      <w:lvlJc w:val="left"/>
      <w:pPr>
        <w:tabs>
          <w:tab w:val="num" w:pos="5760"/>
        </w:tabs>
        <w:ind w:left="5760" w:hanging="360"/>
      </w:pPr>
      <w:rPr>
        <w:rFonts w:ascii="Times New Roman" w:hAnsi="Times New Roman"/>
      </w:rPr>
    </w:lvl>
    <w:lvl w:ilvl="8" w:tplc="315E5BFE">
      <w:start w:val="1"/>
      <w:numFmt w:val="bullet"/>
      <w:lvlText w:val="-"/>
      <w:lvlJc w:val="left"/>
      <w:pPr>
        <w:tabs>
          <w:tab w:val="num" w:pos="6480"/>
        </w:tabs>
        <w:ind w:left="6480" w:hanging="360"/>
      </w:pPr>
      <w:rPr>
        <w:rFonts w:ascii="Times New Roman" w:hAnsi="Times New Roman"/>
      </w:rPr>
    </w:lvl>
  </w:abstractNum>
  <w:abstractNum w:abstractNumId="2">
    <w:nsid w:val="4CF4605C"/>
    <w:multiLevelType w:val="hybridMultilevel"/>
    <w:tmpl w:val="F7F2CB04"/>
    <w:lvl w:ilvl="0" w:tplc="FBA45C56">
      <w:start w:val="1"/>
      <w:numFmt w:val="decimal"/>
      <w:lvlText w:val="%1)"/>
      <w:lvlJc w:val="left"/>
      <w:pPr>
        <w:ind w:left="1069" w:hanging="360"/>
      </w:pPr>
      <w:rPr>
        <w:i w:val="0"/>
      </w:rPr>
    </w:lvl>
    <w:lvl w:ilvl="1" w:tplc="D5C4605A">
      <w:start w:val="1"/>
      <w:numFmt w:val="lowerLetter"/>
      <w:lvlText w:val="%2."/>
      <w:lvlJc w:val="left"/>
      <w:pPr>
        <w:ind w:left="1789" w:hanging="360"/>
      </w:pPr>
    </w:lvl>
    <w:lvl w:ilvl="2" w:tplc="F8EE8126">
      <w:start w:val="1"/>
      <w:numFmt w:val="lowerRoman"/>
      <w:lvlText w:val="%3."/>
      <w:lvlJc w:val="right"/>
      <w:pPr>
        <w:ind w:left="2509" w:hanging="180"/>
      </w:pPr>
    </w:lvl>
    <w:lvl w:ilvl="3" w:tplc="F332779E">
      <w:start w:val="1"/>
      <w:numFmt w:val="decimal"/>
      <w:lvlText w:val="%4."/>
      <w:lvlJc w:val="left"/>
      <w:pPr>
        <w:ind w:left="3229" w:hanging="360"/>
      </w:pPr>
    </w:lvl>
    <w:lvl w:ilvl="4" w:tplc="5B5AF7A6">
      <w:start w:val="1"/>
      <w:numFmt w:val="lowerLetter"/>
      <w:lvlText w:val="%5."/>
      <w:lvlJc w:val="left"/>
      <w:pPr>
        <w:ind w:left="3949" w:hanging="360"/>
      </w:pPr>
    </w:lvl>
    <w:lvl w:ilvl="5" w:tplc="4DFAFE20">
      <w:start w:val="1"/>
      <w:numFmt w:val="lowerRoman"/>
      <w:lvlText w:val="%6."/>
      <w:lvlJc w:val="right"/>
      <w:pPr>
        <w:ind w:left="4669" w:hanging="180"/>
      </w:pPr>
    </w:lvl>
    <w:lvl w:ilvl="6" w:tplc="B1DE138C">
      <w:start w:val="1"/>
      <w:numFmt w:val="decimal"/>
      <w:lvlText w:val="%7."/>
      <w:lvlJc w:val="left"/>
      <w:pPr>
        <w:ind w:left="5389" w:hanging="360"/>
      </w:pPr>
    </w:lvl>
    <w:lvl w:ilvl="7" w:tplc="37725D60">
      <w:start w:val="1"/>
      <w:numFmt w:val="lowerLetter"/>
      <w:lvlText w:val="%8."/>
      <w:lvlJc w:val="left"/>
      <w:pPr>
        <w:ind w:left="6109" w:hanging="360"/>
      </w:pPr>
    </w:lvl>
    <w:lvl w:ilvl="8" w:tplc="ABCEA262">
      <w:start w:val="1"/>
      <w:numFmt w:val="lowerRoman"/>
      <w:lvlText w:val="%9."/>
      <w:lvlJc w:val="right"/>
      <w:pPr>
        <w:ind w:left="6829" w:hanging="180"/>
      </w:pPr>
    </w:lvl>
  </w:abstractNum>
  <w:abstractNum w:abstractNumId="3">
    <w:nsid w:val="78EE0420"/>
    <w:multiLevelType w:val="hybridMultilevel"/>
    <w:tmpl w:val="FA94B99C"/>
    <w:lvl w:ilvl="0" w:tplc="46E082F8">
      <w:start w:val="1"/>
      <w:numFmt w:val="decimal"/>
      <w:lvlText w:val="%1."/>
      <w:lvlJc w:val="left"/>
      <w:pPr>
        <w:ind w:left="360" w:hanging="360"/>
      </w:pPr>
    </w:lvl>
    <w:lvl w:ilvl="1" w:tplc="DC46F434">
      <w:start w:val="1"/>
      <w:numFmt w:val="lowerLetter"/>
      <w:lvlText w:val="%2."/>
      <w:lvlJc w:val="left"/>
      <w:pPr>
        <w:ind w:left="720" w:hanging="360"/>
      </w:pPr>
    </w:lvl>
    <w:lvl w:ilvl="2" w:tplc="17463B02">
      <w:start w:val="1"/>
      <w:numFmt w:val="lowerRoman"/>
      <w:lvlText w:val="%3."/>
      <w:lvlJc w:val="right"/>
      <w:pPr>
        <w:ind w:left="1080" w:hanging="360"/>
      </w:pPr>
    </w:lvl>
    <w:lvl w:ilvl="3" w:tplc="2B9A206C">
      <w:start w:val="1"/>
      <w:numFmt w:val="decimal"/>
      <w:lvlText w:val="%4."/>
      <w:lvlJc w:val="left"/>
      <w:pPr>
        <w:ind w:left="1440" w:hanging="360"/>
      </w:pPr>
    </w:lvl>
    <w:lvl w:ilvl="4" w:tplc="3F644B4A">
      <w:start w:val="1"/>
      <w:numFmt w:val="lowerLetter"/>
      <w:lvlText w:val="%5."/>
      <w:lvlJc w:val="left"/>
      <w:pPr>
        <w:ind w:left="1800" w:hanging="360"/>
      </w:pPr>
    </w:lvl>
    <w:lvl w:ilvl="5" w:tplc="AB0EB364">
      <w:start w:val="1"/>
      <w:numFmt w:val="lowerRoman"/>
      <w:lvlText w:val="%6."/>
      <w:lvlJc w:val="right"/>
      <w:pPr>
        <w:ind w:left="2160" w:hanging="360"/>
      </w:pPr>
    </w:lvl>
    <w:lvl w:ilvl="6" w:tplc="A4A6FD96">
      <w:start w:val="1"/>
      <w:numFmt w:val="decimal"/>
      <w:lvlText w:val="%7."/>
      <w:lvlJc w:val="left"/>
      <w:pPr>
        <w:ind w:left="2520" w:hanging="360"/>
      </w:pPr>
    </w:lvl>
    <w:lvl w:ilvl="7" w:tplc="1108CFD6">
      <w:start w:val="1"/>
      <w:numFmt w:val="lowerLetter"/>
      <w:lvlText w:val="%8."/>
      <w:lvlJc w:val="left"/>
      <w:pPr>
        <w:ind w:left="2880" w:hanging="360"/>
      </w:pPr>
    </w:lvl>
    <w:lvl w:ilvl="8" w:tplc="E7DC800E">
      <w:start w:val="1"/>
      <w:numFmt w:val="lowerRoman"/>
      <w:lvlText w:val="%9."/>
      <w:lvlJc w:val="right"/>
      <w:pPr>
        <w:ind w:left="324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defaultTabStop w:val="708"/>
  <w:characterSpacingControl w:val="doNotCompress"/>
  <w:footnotePr>
    <w:footnote w:id="0"/>
    <w:footnote w:id="1"/>
  </w:footnotePr>
  <w:endnotePr>
    <w:endnote w:id="0"/>
    <w:endnote w:id="1"/>
  </w:endnotePr>
  <w:compat/>
  <w:rsids>
    <w:rsidRoot w:val="00513CAC"/>
    <w:rsid w:val="00004507"/>
    <w:rsid w:val="000128CC"/>
    <w:rsid w:val="000220A7"/>
    <w:rsid w:val="00026AC8"/>
    <w:rsid w:val="00031D15"/>
    <w:rsid w:val="00033E76"/>
    <w:rsid w:val="00036A5F"/>
    <w:rsid w:val="00062C1B"/>
    <w:rsid w:val="00077633"/>
    <w:rsid w:val="000802A4"/>
    <w:rsid w:val="00090838"/>
    <w:rsid w:val="000A0E31"/>
    <w:rsid w:val="000B19FB"/>
    <w:rsid w:val="000B557F"/>
    <w:rsid w:val="000B653B"/>
    <w:rsid w:val="000D1637"/>
    <w:rsid w:val="000D66E5"/>
    <w:rsid w:val="00114CC6"/>
    <w:rsid w:val="001153D3"/>
    <w:rsid w:val="00115FED"/>
    <w:rsid w:val="00121DCA"/>
    <w:rsid w:val="00124699"/>
    <w:rsid w:val="00134F56"/>
    <w:rsid w:val="00142E7F"/>
    <w:rsid w:val="00142ECD"/>
    <w:rsid w:val="0015280E"/>
    <w:rsid w:val="001568DC"/>
    <w:rsid w:val="00161D54"/>
    <w:rsid w:val="0016573F"/>
    <w:rsid w:val="001741F7"/>
    <w:rsid w:val="001759CE"/>
    <w:rsid w:val="00183621"/>
    <w:rsid w:val="00185238"/>
    <w:rsid w:val="001A1E13"/>
    <w:rsid w:val="001A7ADA"/>
    <w:rsid w:val="001B12FB"/>
    <w:rsid w:val="001B54B9"/>
    <w:rsid w:val="00201D44"/>
    <w:rsid w:val="00201DAB"/>
    <w:rsid w:val="002030F2"/>
    <w:rsid w:val="002042FC"/>
    <w:rsid w:val="0022211D"/>
    <w:rsid w:val="002376CA"/>
    <w:rsid w:val="00240B46"/>
    <w:rsid w:val="00241EA6"/>
    <w:rsid w:val="00247A0D"/>
    <w:rsid w:val="00251379"/>
    <w:rsid w:val="002655D5"/>
    <w:rsid w:val="00272291"/>
    <w:rsid w:val="00272DBA"/>
    <w:rsid w:val="002730B7"/>
    <w:rsid w:val="002741EE"/>
    <w:rsid w:val="00280567"/>
    <w:rsid w:val="00290A4B"/>
    <w:rsid w:val="00294C9C"/>
    <w:rsid w:val="002B5AB2"/>
    <w:rsid w:val="002D26AE"/>
    <w:rsid w:val="002D3D88"/>
    <w:rsid w:val="002D68BF"/>
    <w:rsid w:val="002E2956"/>
    <w:rsid w:val="002F0444"/>
    <w:rsid w:val="002F12E7"/>
    <w:rsid w:val="002F32F6"/>
    <w:rsid w:val="00301D76"/>
    <w:rsid w:val="00302BED"/>
    <w:rsid w:val="00305765"/>
    <w:rsid w:val="00332863"/>
    <w:rsid w:val="00332C57"/>
    <w:rsid w:val="003355F8"/>
    <w:rsid w:val="00337D48"/>
    <w:rsid w:val="003459F4"/>
    <w:rsid w:val="0035020E"/>
    <w:rsid w:val="00353B66"/>
    <w:rsid w:val="00354A12"/>
    <w:rsid w:val="00391C52"/>
    <w:rsid w:val="00396949"/>
    <w:rsid w:val="003A0690"/>
    <w:rsid w:val="003A6EDE"/>
    <w:rsid w:val="003A713A"/>
    <w:rsid w:val="003B0325"/>
    <w:rsid w:val="003B457B"/>
    <w:rsid w:val="003D45F3"/>
    <w:rsid w:val="003E04AA"/>
    <w:rsid w:val="003F2CD3"/>
    <w:rsid w:val="003F49F3"/>
    <w:rsid w:val="00404FB1"/>
    <w:rsid w:val="004263B3"/>
    <w:rsid w:val="004408D5"/>
    <w:rsid w:val="004414B8"/>
    <w:rsid w:val="00450747"/>
    <w:rsid w:val="004520AE"/>
    <w:rsid w:val="00453025"/>
    <w:rsid w:val="004620FC"/>
    <w:rsid w:val="00464499"/>
    <w:rsid w:val="00482698"/>
    <w:rsid w:val="00486AD4"/>
    <w:rsid w:val="004A1D74"/>
    <w:rsid w:val="004A4E5E"/>
    <w:rsid w:val="004B5C9A"/>
    <w:rsid w:val="004B5D07"/>
    <w:rsid w:val="004E4157"/>
    <w:rsid w:val="004F12E0"/>
    <w:rsid w:val="004F65D8"/>
    <w:rsid w:val="00500055"/>
    <w:rsid w:val="00504F45"/>
    <w:rsid w:val="00507ECE"/>
    <w:rsid w:val="00512AF3"/>
    <w:rsid w:val="00513CAC"/>
    <w:rsid w:val="00523241"/>
    <w:rsid w:val="00523290"/>
    <w:rsid w:val="00531BBA"/>
    <w:rsid w:val="0054496D"/>
    <w:rsid w:val="0055184F"/>
    <w:rsid w:val="00563603"/>
    <w:rsid w:val="005A53B7"/>
    <w:rsid w:val="005C0E08"/>
    <w:rsid w:val="005C53C8"/>
    <w:rsid w:val="005D4689"/>
    <w:rsid w:val="005D7948"/>
    <w:rsid w:val="005E3C4B"/>
    <w:rsid w:val="005E6D4F"/>
    <w:rsid w:val="00602F97"/>
    <w:rsid w:val="0061271F"/>
    <w:rsid w:val="0064254E"/>
    <w:rsid w:val="00647AC8"/>
    <w:rsid w:val="006539F9"/>
    <w:rsid w:val="0065654D"/>
    <w:rsid w:val="006565F0"/>
    <w:rsid w:val="00656B60"/>
    <w:rsid w:val="00665EA5"/>
    <w:rsid w:val="00672E05"/>
    <w:rsid w:val="00676CB7"/>
    <w:rsid w:val="00687F0C"/>
    <w:rsid w:val="00691242"/>
    <w:rsid w:val="0069187C"/>
    <w:rsid w:val="006B226B"/>
    <w:rsid w:val="006B39CA"/>
    <w:rsid w:val="006C2BC9"/>
    <w:rsid w:val="006C58DE"/>
    <w:rsid w:val="006C762C"/>
    <w:rsid w:val="006D6ADD"/>
    <w:rsid w:val="00700B62"/>
    <w:rsid w:val="00713EA4"/>
    <w:rsid w:val="007330B1"/>
    <w:rsid w:val="00735580"/>
    <w:rsid w:val="007437BC"/>
    <w:rsid w:val="00746456"/>
    <w:rsid w:val="00750F1E"/>
    <w:rsid w:val="00753FE0"/>
    <w:rsid w:val="007653EE"/>
    <w:rsid w:val="00773E42"/>
    <w:rsid w:val="00776439"/>
    <w:rsid w:val="0079509F"/>
    <w:rsid w:val="007A2429"/>
    <w:rsid w:val="007A46E2"/>
    <w:rsid w:val="007B40F1"/>
    <w:rsid w:val="007D041B"/>
    <w:rsid w:val="007D68D1"/>
    <w:rsid w:val="007E0891"/>
    <w:rsid w:val="007E4F32"/>
    <w:rsid w:val="00801333"/>
    <w:rsid w:val="008033A0"/>
    <w:rsid w:val="008059EA"/>
    <w:rsid w:val="00841E41"/>
    <w:rsid w:val="00842533"/>
    <w:rsid w:val="0085169F"/>
    <w:rsid w:val="00857701"/>
    <w:rsid w:val="00862823"/>
    <w:rsid w:val="00890470"/>
    <w:rsid w:val="00895420"/>
    <w:rsid w:val="008A583B"/>
    <w:rsid w:val="008B1A69"/>
    <w:rsid w:val="008B5CA8"/>
    <w:rsid w:val="008C461D"/>
    <w:rsid w:val="008D4052"/>
    <w:rsid w:val="008E56C9"/>
    <w:rsid w:val="008F07B2"/>
    <w:rsid w:val="00907EC9"/>
    <w:rsid w:val="009205D3"/>
    <w:rsid w:val="009305DD"/>
    <w:rsid w:val="0093295D"/>
    <w:rsid w:val="009402B6"/>
    <w:rsid w:val="009546F9"/>
    <w:rsid w:val="009563F4"/>
    <w:rsid w:val="009653FE"/>
    <w:rsid w:val="009A3263"/>
    <w:rsid w:val="009B3EB5"/>
    <w:rsid w:val="009B6EA6"/>
    <w:rsid w:val="009C3EC3"/>
    <w:rsid w:val="009C6749"/>
    <w:rsid w:val="009D14A6"/>
    <w:rsid w:val="009D2204"/>
    <w:rsid w:val="009D243E"/>
    <w:rsid w:val="009E2B23"/>
    <w:rsid w:val="009E3A57"/>
    <w:rsid w:val="009F5EB4"/>
    <w:rsid w:val="009F6156"/>
    <w:rsid w:val="00A10988"/>
    <w:rsid w:val="00A351A7"/>
    <w:rsid w:val="00A508FC"/>
    <w:rsid w:val="00A6020D"/>
    <w:rsid w:val="00A618F0"/>
    <w:rsid w:val="00A639FD"/>
    <w:rsid w:val="00A872D2"/>
    <w:rsid w:val="00A9632A"/>
    <w:rsid w:val="00AA4D04"/>
    <w:rsid w:val="00AC57DF"/>
    <w:rsid w:val="00AC7115"/>
    <w:rsid w:val="00AC76C1"/>
    <w:rsid w:val="00AF4D3B"/>
    <w:rsid w:val="00B252DF"/>
    <w:rsid w:val="00B301F1"/>
    <w:rsid w:val="00B37442"/>
    <w:rsid w:val="00B40F42"/>
    <w:rsid w:val="00B465DE"/>
    <w:rsid w:val="00B51954"/>
    <w:rsid w:val="00B54039"/>
    <w:rsid w:val="00B56E0D"/>
    <w:rsid w:val="00B60AB6"/>
    <w:rsid w:val="00B715D9"/>
    <w:rsid w:val="00B80625"/>
    <w:rsid w:val="00B84799"/>
    <w:rsid w:val="00B851BD"/>
    <w:rsid w:val="00BB6213"/>
    <w:rsid w:val="00BF3AF1"/>
    <w:rsid w:val="00C03858"/>
    <w:rsid w:val="00C11910"/>
    <w:rsid w:val="00C11F5B"/>
    <w:rsid w:val="00C12854"/>
    <w:rsid w:val="00C13B6D"/>
    <w:rsid w:val="00C154E3"/>
    <w:rsid w:val="00C2563D"/>
    <w:rsid w:val="00C61F4F"/>
    <w:rsid w:val="00C77F06"/>
    <w:rsid w:val="00C82ED9"/>
    <w:rsid w:val="00C9467A"/>
    <w:rsid w:val="00C94785"/>
    <w:rsid w:val="00CA5DB6"/>
    <w:rsid w:val="00CA651B"/>
    <w:rsid w:val="00CC2F4A"/>
    <w:rsid w:val="00CE66E5"/>
    <w:rsid w:val="00D26CE7"/>
    <w:rsid w:val="00D30FC5"/>
    <w:rsid w:val="00D43FB9"/>
    <w:rsid w:val="00D73B11"/>
    <w:rsid w:val="00D77926"/>
    <w:rsid w:val="00D868E7"/>
    <w:rsid w:val="00D92159"/>
    <w:rsid w:val="00D94FBD"/>
    <w:rsid w:val="00D96106"/>
    <w:rsid w:val="00D979AE"/>
    <w:rsid w:val="00DA6798"/>
    <w:rsid w:val="00DB3AB6"/>
    <w:rsid w:val="00DC1C24"/>
    <w:rsid w:val="00DC689B"/>
    <w:rsid w:val="00DC7D65"/>
    <w:rsid w:val="00DD03BD"/>
    <w:rsid w:val="00DE13E8"/>
    <w:rsid w:val="00E00132"/>
    <w:rsid w:val="00E0417B"/>
    <w:rsid w:val="00E221E5"/>
    <w:rsid w:val="00E41377"/>
    <w:rsid w:val="00E617E8"/>
    <w:rsid w:val="00E80B20"/>
    <w:rsid w:val="00E81550"/>
    <w:rsid w:val="00E8611C"/>
    <w:rsid w:val="00EA4BAD"/>
    <w:rsid w:val="00EB086C"/>
    <w:rsid w:val="00EB63DB"/>
    <w:rsid w:val="00EC6886"/>
    <w:rsid w:val="00EC79E3"/>
    <w:rsid w:val="00ED1DBC"/>
    <w:rsid w:val="00ED22F7"/>
    <w:rsid w:val="00EF5524"/>
    <w:rsid w:val="00F0425C"/>
    <w:rsid w:val="00F071D7"/>
    <w:rsid w:val="00F20DDB"/>
    <w:rsid w:val="00F23206"/>
    <w:rsid w:val="00F30161"/>
    <w:rsid w:val="00F3576B"/>
    <w:rsid w:val="00F371C8"/>
    <w:rsid w:val="00F537FD"/>
    <w:rsid w:val="00F60286"/>
    <w:rsid w:val="00F91444"/>
    <w:rsid w:val="00F93D70"/>
    <w:rsid w:val="00F9658A"/>
    <w:rsid w:val="00FA3286"/>
    <w:rsid w:val="00FB4F53"/>
    <w:rsid w:val="00FC5243"/>
    <w:rsid w:val="00FD1EDF"/>
    <w:rsid w:val="00FD564C"/>
    <w:rsid w:val="00FD7A41"/>
    <w:rsid w:val="00FD7F3C"/>
    <w:rsid w:val="00FE035C"/>
    <w:rsid w:val="00FE0AD9"/>
    <w:rsid w:val="00FF6C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672E05"/>
  </w:style>
  <w:style w:type="paragraph" w:styleId="1">
    <w:name w:val="heading 1"/>
    <w:basedOn w:val="a"/>
    <w:next w:val="a"/>
    <w:link w:val="10"/>
    <w:uiPriority w:val="9"/>
    <w:qFormat/>
    <w:rsid w:val="001759C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1759C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1759CE"/>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1759C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1759C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1759C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1759C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1759C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759C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9CE"/>
    <w:pPr>
      <w:ind w:left="720"/>
      <w:contextualSpacing/>
    </w:pPr>
  </w:style>
  <w:style w:type="paragraph" w:styleId="a4">
    <w:name w:val="Normal (Web)"/>
    <w:basedOn w:val="a"/>
    <w:uiPriority w:val="99"/>
    <w:semiHidden/>
    <w:unhideWhenUsed/>
    <w:rsid w:val="001759CE"/>
    <w:pPr>
      <w:spacing w:before="100" w:after="100" w:line="240" w:lineRule="auto"/>
    </w:pPr>
    <w:rPr>
      <w:rFonts w:ascii="Times New Roman" w:eastAsia="Times New Roman" w:hAnsi="Times New Roman" w:cs="Times New Roman"/>
      <w:sz w:val="24"/>
      <w:szCs w:val="24"/>
      <w:lang w:eastAsia="ru-RU"/>
    </w:rPr>
  </w:style>
  <w:style w:type="paragraph" w:styleId="a5">
    <w:name w:val="No Spacing"/>
    <w:uiPriority w:val="1"/>
    <w:qFormat/>
    <w:rsid w:val="001759CE"/>
    <w:pPr>
      <w:spacing w:after="0" w:line="240" w:lineRule="auto"/>
    </w:pPr>
  </w:style>
  <w:style w:type="character" w:customStyle="1" w:styleId="10">
    <w:name w:val="Заголовок 1 Знак"/>
    <w:basedOn w:val="a0"/>
    <w:link w:val="1"/>
    <w:uiPriority w:val="9"/>
    <w:rsid w:val="001759CE"/>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1759CE"/>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1759CE"/>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1759CE"/>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sid w:val="001759CE"/>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rsid w:val="001759CE"/>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rsid w:val="001759C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759C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1759CE"/>
    <w:rPr>
      <w:rFonts w:asciiTheme="majorHAnsi" w:eastAsiaTheme="majorEastAsia" w:hAnsiTheme="majorHAnsi" w:cstheme="majorBidi"/>
      <w:i/>
      <w:iCs/>
      <w:color w:val="404040" w:themeColor="text1" w:themeTint="BF"/>
      <w:sz w:val="20"/>
      <w:szCs w:val="20"/>
    </w:rPr>
  </w:style>
  <w:style w:type="paragraph" w:styleId="a6">
    <w:name w:val="Title"/>
    <w:basedOn w:val="a"/>
    <w:next w:val="a"/>
    <w:link w:val="a7"/>
    <w:uiPriority w:val="10"/>
    <w:qFormat/>
    <w:rsid w:val="001759CE"/>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7">
    <w:name w:val="Название Знак"/>
    <w:basedOn w:val="a0"/>
    <w:link w:val="a6"/>
    <w:uiPriority w:val="10"/>
    <w:rsid w:val="001759CE"/>
    <w:rPr>
      <w:rFonts w:asciiTheme="majorHAnsi" w:eastAsiaTheme="majorEastAsia" w:hAnsiTheme="majorHAnsi" w:cstheme="majorBidi"/>
      <w:color w:val="323E4F" w:themeColor="text2" w:themeShade="BF"/>
      <w:spacing w:val="5"/>
      <w:sz w:val="52"/>
      <w:szCs w:val="52"/>
    </w:rPr>
  </w:style>
  <w:style w:type="paragraph" w:styleId="a8">
    <w:name w:val="Subtitle"/>
    <w:basedOn w:val="a"/>
    <w:next w:val="a"/>
    <w:link w:val="a9"/>
    <w:uiPriority w:val="11"/>
    <w:qFormat/>
    <w:rsid w:val="001759C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9">
    <w:name w:val="Подзаголовок Знак"/>
    <w:basedOn w:val="a0"/>
    <w:link w:val="a8"/>
    <w:uiPriority w:val="11"/>
    <w:rsid w:val="001759CE"/>
    <w:rPr>
      <w:rFonts w:asciiTheme="majorHAnsi" w:eastAsiaTheme="majorEastAsia" w:hAnsiTheme="majorHAnsi" w:cstheme="majorBidi"/>
      <w:i/>
      <w:iCs/>
      <w:color w:val="5B9BD5" w:themeColor="accent1"/>
      <w:spacing w:val="15"/>
      <w:sz w:val="24"/>
      <w:szCs w:val="24"/>
    </w:rPr>
  </w:style>
  <w:style w:type="character" w:styleId="aa">
    <w:name w:val="Subtle Emphasis"/>
    <w:basedOn w:val="a0"/>
    <w:uiPriority w:val="19"/>
    <w:qFormat/>
    <w:rsid w:val="001759CE"/>
    <w:rPr>
      <w:i/>
      <w:iCs/>
      <w:color w:val="808080" w:themeColor="text1" w:themeTint="7F"/>
    </w:rPr>
  </w:style>
  <w:style w:type="character" w:styleId="ab">
    <w:name w:val="Emphasis"/>
    <w:basedOn w:val="a0"/>
    <w:uiPriority w:val="20"/>
    <w:qFormat/>
    <w:rsid w:val="001759CE"/>
    <w:rPr>
      <w:i/>
      <w:iCs/>
    </w:rPr>
  </w:style>
  <w:style w:type="character" w:styleId="ac">
    <w:name w:val="Intense Emphasis"/>
    <w:basedOn w:val="a0"/>
    <w:uiPriority w:val="21"/>
    <w:qFormat/>
    <w:rsid w:val="001759CE"/>
    <w:rPr>
      <w:b/>
      <w:bCs/>
      <w:i/>
      <w:iCs/>
      <w:color w:val="5B9BD5" w:themeColor="accent1"/>
    </w:rPr>
  </w:style>
  <w:style w:type="character" w:styleId="ad">
    <w:name w:val="Strong"/>
    <w:basedOn w:val="a0"/>
    <w:uiPriority w:val="22"/>
    <w:qFormat/>
    <w:rsid w:val="001759CE"/>
    <w:rPr>
      <w:b/>
      <w:bCs/>
    </w:rPr>
  </w:style>
  <w:style w:type="paragraph" w:styleId="21">
    <w:name w:val="Quote"/>
    <w:basedOn w:val="a"/>
    <w:next w:val="a"/>
    <w:link w:val="22"/>
    <w:uiPriority w:val="29"/>
    <w:qFormat/>
    <w:rsid w:val="001759CE"/>
    <w:rPr>
      <w:i/>
      <w:iCs/>
      <w:color w:val="000000" w:themeColor="text1"/>
    </w:rPr>
  </w:style>
  <w:style w:type="character" w:customStyle="1" w:styleId="22">
    <w:name w:val="Цитата 2 Знак"/>
    <w:basedOn w:val="a0"/>
    <w:link w:val="21"/>
    <w:uiPriority w:val="29"/>
    <w:rsid w:val="001759CE"/>
    <w:rPr>
      <w:i/>
      <w:iCs/>
      <w:color w:val="000000" w:themeColor="text1"/>
    </w:rPr>
  </w:style>
  <w:style w:type="paragraph" w:styleId="ae">
    <w:name w:val="Intense Quote"/>
    <w:basedOn w:val="a"/>
    <w:next w:val="a"/>
    <w:link w:val="af"/>
    <w:uiPriority w:val="30"/>
    <w:qFormat/>
    <w:rsid w:val="001759CE"/>
    <w:pPr>
      <w:pBdr>
        <w:bottom w:val="single" w:sz="4" w:space="0" w:color="5B9BD5" w:themeColor="accent1"/>
      </w:pBdr>
      <w:spacing w:before="200" w:after="280"/>
      <w:ind w:left="936" w:right="936"/>
    </w:pPr>
    <w:rPr>
      <w:b/>
      <w:bCs/>
      <w:i/>
      <w:iCs/>
      <w:color w:val="5B9BD5" w:themeColor="accent1"/>
    </w:rPr>
  </w:style>
  <w:style w:type="character" w:customStyle="1" w:styleId="af">
    <w:name w:val="Выделенная цитата Знак"/>
    <w:basedOn w:val="a0"/>
    <w:link w:val="ae"/>
    <w:uiPriority w:val="30"/>
    <w:rsid w:val="001759CE"/>
    <w:rPr>
      <w:b/>
      <w:bCs/>
      <w:i/>
      <w:iCs/>
      <w:color w:val="5B9BD5" w:themeColor="accent1"/>
    </w:rPr>
  </w:style>
  <w:style w:type="character" w:styleId="af0">
    <w:name w:val="Subtle Reference"/>
    <w:basedOn w:val="a0"/>
    <w:uiPriority w:val="31"/>
    <w:qFormat/>
    <w:rsid w:val="001759CE"/>
    <w:rPr>
      <w:smallCaps/>
      <w:color w:val="ED7D31" w:themeColor="accent2"/>
      <w:u w:val="single"/>
    </w:rPr>
  </w:style>
  <w:style w:type="character" w:styleId="af1">
    <w:name w:val="Intense Reference"/>
    <w:basedOn w:val="a0"/>
    <w:uiPriority w:val="32"/>
    <w:qFormat/>
    <w:rsid w:val="001759CE"/>
    <w:rPr>
      <w:b/>
      <w:bCs/>
      <w:smallCaps/>
      <w:color w:val="ED7D31" w:themeColor="accent2"/>
      <w:spacing w:val="5"/>
      <w:u w:val="single"/>
    </w:rPr>
  </w:style>
  <w:style w:type="character" w:styleId="af2">
    <w:name w:val="Book Title"/>
    <w:basedOn w:val="a0"/>
    <w:uiPriority w:val="33"/>
    <w:qFormat/>
    <w:rsid w:val="001759CE"/>
    <w:rPr>
      <w:b/>
      <w:bCs/>
      <w:smallCaps/>
      <w:spacing w:val="5"/>
    </w:rPr>
  </w:style>
  <w:style w:type="paragraph" w:styleId="af3">
    <w:name w:val="footnote text"/>
    <w:basedOn w:val="a"/>
    <w:link w:val="af4"/>
    <w:uiPriority w:val="99"/>
    <w:semiHidden/>
    <w:unhideWhenUsed/>
    <w:rsid w:val="001759CE"/>
    <w:pPr>
      <w:spacing w:after="0" w:line="240" w:lineRule="auto"/>
    </w:pPr>
    <w:rPr>
      <w:sz w:val="20"/>
      <w:szCs w:val="20"/>
    </w:rPr>
  </w:style>
  <w:style w:type="character" w:customStyle="1" w:styleId="af4">
    <w:name w:val="Текст сноски Знак"/>
    <w:basedOn w:val="a0"/>
    <w:link w:val="af3"/>
    <w:uiPriority w:val="99"/>
    <w:semiHidden/>
    <w:rsid w:val="001759CE"/>
    <w:rPr>
      <w:sz w:val="20"/>
      <w:szCs w:val="20"/>
    </w:rPr>
  </w:style>
  <w:style w:type="character" w:styleId="af5">
    <w:name w:val="footnote reference"/>
    <w:basedOn w:val="a0"/>
    <w:uiPriority w:val="99"/>
    <w:semiHidden/>
    <w:unhideWhenUsed/>
    <w:rsid w:val="001759CE"/>
    <w:rPr>
      <w:vertAlign w:val="superscript"/>
    </w:rPr>
  </w:style>
  <w:style w:type="paragraph" w:styleId="af6">
    <w:name w:val="endnote text"/>
    <w:basedOn w:val="a"/>
    <w:link w:val="af7"/>
    <w:uiPriority w:val="99"/>
    <w:semiHidden/>
    <w:unhideWhenUsed/>
    <w:rsid w:val="001759CE"/>
    <w:pPr>
      <w:spacing w:after="0" w:line="240" w:lineRule="auto"/>
    </w:pPr>
    <w:rPr>
      <w:sz w:val="20"/>
      <w:szCs w:val="20"/>
    </w:rPr>
  </w:style>
  <w:style w:type="character" w:customStyle="1" w:styleId="af7">
    <w:name w:val="Текст концевой сноски Знак"/>
    <w:basedOn w:val="a0"/>
    <w:link w:val="af6"/>
    <w:uiPriority w:val="99"/>
    <w:semiHidden/>
    <w:rsid w:val="001759CE"/>
    <w:rPr>
      <w:sz w:val="20"/>
      <w:szCs w:val="20"/>
    </w:rPr>
  </w:style>
  <w:style w:type="character" w:styleId="af8">
    <w:name w:val="endnote reference"/>
    <w:basedOn w:val="a0"/>
    <w:uiPriority w:val="99"/>
    <w:semiHidden/>
    <w:unhideWhenUsed/>
    <w:rsid w:val="001759CE"/>
    <w:rPr>
      <w:vertAlign w:val="superscript"/>
    </w:rPr>
  </w:style>
  <w:style w:type="character" w:styleId="af9">
    <w:name w:val="Hyperlink"/>
    <w:basedOn w:val="a0"/>
    <w:uiPriority w:val="99"/>
    <w:unhideWhenUsed/>
    <w:rsid w:val="001759CE"/>
    <w:rPr>
      <w:color w:val="0563C1" w:themeColor="hyperlink"/>
      <w:u w:val="single"/>
    </w:rPr>
  </w:style>
  <w:style w:type="paragraph" w:styleId="afa">
    <w:name w:val="Plain Text"/>
    <w:basedOn w:val="a"/>
    <w:link w:val="afb"/>
    <w:uiPriority w:val="99"/>
    <w:semiHidden/>
    <w:unhideWhenUsed/>
    <w:rsid w:val="001759CE"/>
    <w:pPr>
      <w:spacing w:after="0" w:line="240" w:lineRule="auto"/>
    </w:pPr>
    <w:rPr>
      <w:rFonts w:ascii="Courier New" w:hAnsi="Courier New" w:cs="Courier New"/>
      <w:sz w:val="21"/>
      <w:szCs w:val="21"/>
    </w:rPr>
  </w:style>
  <w:style w:type="character" w:customStyle="1" w:styleId="afb">
    <w:name w:val="Текст Знак"/>
    <w:basedOn w:val="a0"/>
    <w:link w:val="afa"/>
    <w:uiPriority w:val="99"/>
    <w:rsid w:val="001759CE"/>
    <w:rPr>
      <w:rFonts w:ascii="Courier New" w:hAnsi="Courier New" w:cs="Courier New"/>
      <w:sz w:val="21"/>
      <w:szCs w:val="21"/>
    </w:rPr>
  </w:style>
  <w:style w:type="paragraph" w:styleId="afc">
    <w:name w:val="header"/>
    <w:basedOn w:val="a"/>
    <w:link w:val="afd"/>
    <w:uiPriority w:val="99"/>
    <w:unhideWhenUsed/>
    <w:rsid w:val="001759CE"/>
    <w:pPr>
      <w:spacing w:after="0" w:line="240" w:lineRule="auto"/>
    </w:pPr>
  </w:style>
  <w:style w:type="character" w:customStyle="1" w:styleId="afd">
    <w:name w:val="Верхний колонтитул Знак"/>
    <w:basedOn w:val="a0"/>
    <w:link w:val="afc"/>
    <w:uiPriority w:val="99"/>
    <w:rsid w:val="001759CE"/>
  </w:style>
  <w:style w:type="paragraph" w:styleId="afe">
    <w:name w:val="footer"/>
    <w:basedOn w:val="a"/>
    <w:link w:val="aff"/>
    <w:uiPriority w:val="99"/>
    <w:unhideWhenUsed/>
    <w:rsid w:val="001759CE"/>
    <w:pPr>
      <w:spacing w:after="0" w:line="240" w:lineRule="auto"/>
    </w:pPr>
  </w:style>
  <w:style w:type="character" w:customStyle="1" w:styleId="aff">
    <w:name w:val="Нижний колонтитул Знак"/>
    <w:basedOn w:val="a0"/>
    <w:link w:val="afe"/>
    <w:uiPriority w:val="99"/>
    <w:rsid w:val="001759CE"/>
  </w:style>
  <w:style w:type="paragraph" w:styleId="aff0">
    <w:name w:val="Body Text"/>
    <w:basedOn w:val="a"/>
    <w:link w:val="aff1"/>
    <w:uiPriority w:val="99"/>
    <w:semiHidden/>
    <w:rsid w:val="001759CE"/>
    <w:pPr>
      <w:spacing w:after="0" w:line="240" w:lineRule="auto"/>
    </w:pPr>
    <w:rPr>
      <w:rFonts w:ascii="Times New Roman" w:eastAsia="Times New Roman" w:hAnsi="Times New Roman" w:cs="Times New Roman"/>
      <w:sz w:val="24"/>
      <w:szCs w:val="20"/>
      <w:lang w:eastAsia="ru-RU"/>
    </w:rPr>
  </w:style>
  <w:style w:type="character" w:customStyle="1" w:styleId="aff1">
    <w:name w:val="Основной текст Знак"/>
    <w:basedOn w:val="a0"/>
    <w:link w:val="aff0"/>
    <w:uiPriority w:val="99"/>
    <w:semiHidden/>
    <w:rsid w:val="001759CE"/>
    <w:rPr>
      <w:rFonts w:ascii="Times New Roman" w:eastAsia="Times New Roman" w:hAnsi="Times New Roman" w:cs="Times New Roman"/>
      <w:sz w:val="24"/>
      <w:szCs w:val="20"/>
      <w:lang w:eastAsia="ru-RU"/>
    </w:rPr>
  </w:style>
  <w:style w:type="paragraph" w:styleId="aff2">
    <w:name w:val="Balloon Text"/>
    <w:basedOn w:val="a"/>
    <w:link w:val="aff3"/>
    <w:uiPriority w:val="99"/>
    <w:semiHidden/>
    <w:unhideWhenUsed/>
    <w:rsid w:val="001759CE"/>
    <w:pPr>
      <w:spacing w:after="0" w:line="240" w:lineRule="auto"/>
    </w:pPr>
    <w:rPr>
      <w:rFonts w:ascii="Segoe UI" w:hAnsi="Segoe UI" w:cs="Segoe UI"/>
      <w:sz w:val="18"/>
      <w:szCs w:val="18"/>
    </w:rPr>
  </w:style>
  <w:style w:type="character" w:customStyle="1" w:styleId="aff3">
    <w:name w:val="Текст выноски Знак"/>
    <w:basedOn w:val="a0"/>
    <w:link w:val="aff2"/>
    <w:uiPriority w:val="99"/>
    <w:semiHidden/>
    <w:rsid w:val="001759CE"/>
    <w:rPr>
      <w:rFonts w:ascii="Segoe UI" w:hAnsi="Segoe UI" w:cs="Segoe UI"/>
      <w:sz w:val="18"/>
      <w:szCs w:val="18"/>
    </w:rPr>
  </w:style>
  <w:style w:type="character" w:customStyle="1" w:styleId="Heading1Char">
    <w:name w:val="Heading 1 Char"/>
    <w:basedOn w:val="a0"/>
    <w:uiPriority w:val="9"/>
    <w:rsid w:val="001759C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a0"/>
    <w:uiPriority w:val="9"/>
    <w:rsid w:val="001759C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a0"/>
    <w:uiPriority w:val="9"/>
    <w:rsid w:val="001759CE"/>
    <w:rPr>
      <w:rFonts w:asciiTheme="majorHAnsi" w:eastAsiaTheme="majorEastAsia" w:hAnsiTheme="majorHAnsi" w:cstheme="majorBidi"/>
      <w:b/>
      <w:bCs/>
      <w:color w:val="5B9BD5" w:themeColor="accent1"/>
    </w:rPr>
  </w:style>
  <w:style w:type="character" w:customStyle="1" w:styleId="Heading4Char">
    <w:name w:val="Heading 4 Char"/>
    <w:basedOn w:val="a0"/>
    <w:uiPriority w:val="9"/>
    <w:rsid w:val="001759CE"/>
    <w:rPr>
      <w:rFonts w:asciiTheme="majorHAnsi" w:eastAsiaTheme="majorEastAsia" w:hAnsiTheme="majorHAnsi" w:cstheme="majorBidi"/>
      <w:b/>
      <w:bCs/>
      <w:i/>
      <w:iCs/>
      <w:color w:val="5B9BD5" w:themeColor="accent1"/>
    </w:rPr>
  </w:style>
  <w:style w:type="character" w:customStyle="1" w:styleId="Heading5Char">
    <w:name w:val="Heading 5 Char"/>
    <w:basedOn w:val="a0"/>
    <w:uiPriority w:val="9"/>
    <w:rsid w:val="001759CE"/>
    <w:rPr>
      <w:rFonts w:asciiTheme="majorHAnsi" w:eastAsiaTheme="majorEastAsia" w:hAnsiTheme="majorHAnsi" w:cstheme="majorBidi"/>
      <w:color w:val="1F4D78" w:themeColor="accent1" w:themeShade="7F"/>
    </w:rPr>
  </w:style>
  <w:style w:type="character" w:customStyle="1" w:styleId="Heading6Char">
    <w:name w:val="Heading 6 Char"/>
    <w:basedOn w:val="a0"/>
    <w:uiPriority w:val="9"/>
    <w:rsid w:val="001759CE"/>
    <w:rPr>
      <w:rFonts w:asciiTheme="majorHAnsi" w:eastAsiaTheme="majorEastAsia" w:hAnsiTheme="majorHAnsi" w:cstheme="majorBidi"/>
      <w:i/>
      <w:iCs/>
      <w:color w:val="1F4D78" w:themeColor="accent1" w:themeShade="7F"/>
    </w:rPr>
  </w:style>
  <w:style w:type="character" w:customStyle="1" w:styleId="Heading7Char">
    <w:name w:val="Heading 7 Char"/>
    <w:basedOn w:val="a0"/>
    <w:uiPriority w:val="9"/>
    <w:rsid w:val="001759CE"/>
    <w:rPr>
      <w:rFonts w:asciiTheme="majorHAnsi" w:eastAsiaTheme="majorEastAsia" w:hAnsiTheme="majorHAnsi" w:cstheme="majorBidi"/>
      <w:i/>
      <w:iCs/>
      <w:color w:val="404040" w:themeColor="text1" w:themeTint="BF"/>
    </w:rPr>
  </w:style>
  <w:style w:type="character" w:customStyle="1" w:styleId="Heading8Char">
    <w:name w:val="Heading 8 Char"/>
    <w:basedOn w:val="a0"/>
    <w:uiPriority w:val="9"/>
    <w:rsid w:val="001759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a0"/>
    <w:uiPriority w:val="9"/>
    <w:rsid w:val="001759CE"/>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a0"/>
    <w:uiPriority w:val="10"/>
    <w:rsid w:val="001759CE"/>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basedOn w:val="a0"/>
    <w:uiPriority w:val="11"/>
    <w:rsid w:val="001759CE"/>
    <w:rPr>
      <w:rFonts w:asciiTheme="majorHAnsi" w:eastAsiaTheme="majorEastAsia" w:hAnsiTheme="majorHAnsi" w:cstheme="majorBidi"/>
      <w:i/>
      <w:iCs/>
      <w:color w:val="5B9BD5" w:themeColor="accent1"/>
      <w:spacing w:val="15"/>
      <w:sz w:val="24"/>
      <w:szCs w:val="24"/>
    </w:rPr>
  </w:style>
  <w:style w:type="character" w:customStyle="1" w:styleId="QuoteChar">
    <w:name w:val="Quote Char"/>
    <w:basedOn w:val="a0"/>
    <w:uiPriority w:val="29"/>
    <w:rsid w:val="001759CE"/>
    <w:rPr>
      <w:i/>
      <w:iCs/>
      <w:color w:val="000000" w:themeColor="text1"/>
    </w:rPr>
  </w:style>
  <w:style w:type="character" w:customStyle="1" w:styleId="IntenseQuoteChar">
    <w:name w:val="Intense Quote Char"/>
    <w:basedOn w:val="a0"/>
    <w:uiPriority w:val="30"/>
    <w:rsid w:val="001759CE"/>
    <w:rPr>
      <w:b/>
      <w:bCs/>
      <w:i/>
      <w:iCs/>
      <w:color w:val="5B9BD5" w:themeColor="accent1"/>
    </w:rPr>
  </w:style>
  <w:style w:type="character" w:customStyle="1" w:styleId="FootnoteTextChar">
    <w:name w:val="Footnote Text Char"/>
    <w:basedOn w:val="a0"/>
    <w:uiPriority w:val="99"/>
    <w:semiHidden/>
    <w:rsid w:val="001759CE"/>
    <w:rPr>
      <w:sz w:val="20"/>
      <w:szCs w:val="20"/>
    </w:rPr>
  </w:style>
  <w:style w:type="character" w:customStyle="1" w:styleId="EndnoteTextChar">
    <w:name w:val="Endnote Text Char"/>
    <w:basedOn w:val="a0"/>
    <w:uiPriority w:val="99"/>
    <w:semiHidden/>
    <w:rsid w:val="001759CE"/>
    <w:rPr>
      <w:sz w:val="20"/>
      <w:szCs w:val="20"/>
    </w:rPr>
  </w:style>
  <w:style w:type="character" w:customStyle="1" w:styleId="PlainTextChar">
    <w:name w:val="Plain Text Char"/>
    <w:basedOn w:val="a0"/>
    <w:uiPriority w:val="99"/>
    <w:rsid w:val="001759CE"/>
    <w:rPr>
      <w:rFonts w:ascii="Courier New" w:hAnsi="Courier New" w:cs="Courier New"/>
      <w:sz w:val="21"/>
      <w:szCs w:val="21"/>
    </w:rPr>
  </w:style>
  <w:style w:type="character" w:customStyle="1" w:styleId="HeaderChar">
    <w:name w:val="Header Char"/>
    <w:basedOn w:val="a0"/>
    <w:uiPriority w:val="99"/>
    <w:rsid w:val="001759CE"/>
  </w:style>
  <w:style w:type="character" w:customStyle="1" w:styleId="FooterChar">
    <w:name w:val="Footer Char"/>
    <w:basedOn w:val="a0"/>
    <w:uiPriority w:val="99"/>
    <w:rsid w:val="001759CE"/>
  </w:style>
  <w:style w:type="paragraph" w:styleId="11">
    <w:name w:val="toc 1"/>
    <w:basedOn w:val="a"/>
    <w:next w:val="a"/>
    <w:autoRedefine/>
    <w:uiPriority w:val="39"/>
    <w:unhideWhenUsed/>
    <w:rsid w:val="00672E05"/>
    <w:pPr>
      <w:spacing w:after="100"/>
    </w:pPr>
  </w:style>
  <w:style w:type="paragraph" w:styleId="71">
    <w:name w:val="toc 7"/>
    <w:basedOn w:val="a"/>
    <w:next w:val="a"/>
    <w:autoRedefine/>
    <w:uiPriority w:val="39"/>
    <w:unhideWhenUsed/>
    <w:rsid w:val="00672E05"/>
    <w:pPr>
      <w:spacing w:after="100"/>
      <w:ind w:left="1320"/>
    </w:pPr>
  </w:style>
  <w:style w:type="paragraph" w:styleId="61">
    <w:name w:val="toc 6"/>
    <w:basedOn w:val="a"/>
    <w:next w:val="a"/>
    <w:autoRedefine/>
    <w:uiPriority w:val="39"/>
    <w:unhideWhenUsed/>
    <w:rsid w:val="00672E05"/>
    <w:pPr>
      <w:spacing w:after="100"/>
      <w:ind w:left="1100"/>
    </w:pPr>
  </w:style>
  <w:style w:type="paragraph" w:styleId="51">
    <w:name w:val="toc 5"/>
    <w:basedOn w:val="a"/>
    <w:next w:val="a"/>
    <w:autoRedefine/>
    <w:uiPriority w:val="39"/>
    <w:unhideWhenUsed/>
    <w:rsid w:val="00672E05"/>
    <w:pPr>
      <w:spacing w:after="100"/>
      <w:ind w:left="880"/>
    </w:pPr>
  </w:style>
  <w:style w:type="paragraph" w:styleId="41">
    <w:name w:val="toc 4"/>
    <w:basedOn w:val="a"/>
    <w:next w:val="a"/>
    <w:autoRedefine/>
    <w:uiPriority w:val="39"/>
    <w:unhideWhenUsed/>
    <w:rsid w:val="00672E05"/>
    <w:pPr>
      <w:spacing w:after="0" w:line="360" w:lineRule="auto"/>
      <w:ind w:firstLine="709"/>
      <w:jc w:val="both"/>
    </w:pPr>
    <w:rPr>
      <w:rFonts w:ascii="Times New Roman" w:hAnsi="Times New Roman" w:cs="Times New Roman"/>
      <w:b/>
      <w:sz w:val="24"/>
      <w:szCs w:val="24"/>
    </w:rPr>
  </w:style>
  <w:style w:type="paragraph" w:styleId="31">
    <w:name w:val="toc 3"/>
    <w:basedOn w:val="a"/>
    <w:next w:val="a"/>
    <w:autoRedefine/>
    <w:uiPriority w:val="39"/>
    <w:unhideWhenUsed/>
    <w:rsid w:val="00251379"/>
    <w:pPr>
      <w:spacing w:after="100"/>
      <w:ind w:left="142"/>
    </w:pPr>
  </w:style>
  <w:style w:type="paragraph" w:styleId="aff4">
    <w:name w:val="TOC Heading"/>
    <w:basedOn w:val="1"/>
    <w:next w:val="a"/>
    <w:uiPriority w:val="39"/>
    <w:unhideWhenUsed/>
    <w:qFormat/>
    <w:rsid w:val="00672E05"/>
    <w:pPr>
      <w:spacing w:before="240"/>
      <w:outlineLvl w:val="9"/>
    </w:pPr>
    <w:rPr>
      <w:b w:val="0"/>
      <w:bCs w:val="0"/>
      <w:sz w:val="32"/>
      <w:szCs w:val="32"/>
      <w:lang w:eastAsia="ru-RU"/>
    </w:rPr>
  </w:style>
  <w:style w:type="paragraph" w:styleId="23">
    <w:name w:val="toc 2"/>
    <w:basedOn w:val="a"/>
    <w:next w:val="a"/>
    <w:autoRedefine/>
    <w:uiPriority w:val="39"/>
    <w:unhideWhenUsed/>
    <w:rsid w:val="00672E05"/>
    <w:pPr>
      <w:spacing w:after="100"/>
      <w:ind w:left="220"/>
    </w:pPr>
    <w:rPr>
      <w:rFonts w:eastAsiaTheme="minorEastAsia" w:cs="Times New Roman"/>
      <w:lang w:eastAsia="ru-RU"/>
    </w:rPr>
  </w:style>
</w:styles>
</file>

<file path=word/webSettings.xml><?xml version="1.0" encoding="utf-8"?>
<w:webSettings xmlns:r="http://schemas.openxmlformats.org/officeDocument/2006/relationships" xmlns:w="http://schemas.openxmlformats.org/wordprocessingml/2006/main">
  <w:divs>
    <w:div w:id="213661105">
      <w:bodyDiv w:val="1"/>
      <w:marLeft w:val="0"/>
      <w:marRight w:val="0"/>
      <w:marTop w:val="0"/>
      <w:marBottom w:val="0"/>
      <w:divBdr>
        <w:top w:val="none" w:sz="0" w:space="0" w:color="auto"/>
        <w:left w:val="none" w:sz="0" w:space="0" w:color="auto"/>
        <w:bottom w:val="none" w:sz="0" w:space="0" w:color="auto"/>
        <w:right w:val="none" w:sz="0" w:space="0" w:color="auto"/>
      </w:divBdr>
      <w:divsChild>
        <w:div w:id="897057360">
          <w:marLeft w:val="547"/>
          <w:marRight w:val="0"/>
          <w:marTop w:val="0"/>
          <w:marBottom w:val="0"/>
          <w:divBdr>
            <w:top w:val="none" w:sz="0" w:space="0" w:color="auto"/>
            <w:left w:val="none" w:sz="0" w:space="0" w:color="auto"/>
            <w:bottom w:val="none" w:sz="0" w:space="0" w:color="auto"/>
            <w:right w:val="none" w:sz="0" w:space="0" w:color="auto"/>
          </w:divBdr>
        </w:div>
        <w:div w:id="91435869">
          <w:marLeft w:val="547"/>
          <w:marRight w:val="0"/>
          <w:marTop w:val="0"/>
          <w:marBottom w:val="0"/>
          <w:divBdr>
            <w:top w:val="none" w:sz="0" w:space="0" w:color="auto"/>
            <w:left w:val="none" w:sz="0" w:space="0" w:color="auto"/>
            <w:bottom w:val="none" w:sz="0" w:space="0" w:color="auto"/>
            <w:right w:val="none" w:sz="0" w:space="0" w:color="auto"/>
          </w:divBdr>
        </w:div>
      </w:divsChild>
    </w:div>
    <w:div w:id="415590014">
      <w:bodyDiv w:val="1"/>
      <w:marLeft w:val="0"/>
      <w:marRight w:val="0"/>
      <w:marTop w:val="0"/>
      <w:marBottom w:val="0"/>
      <w:divBdr>
        <w:top w:val="none" w:sz="0" w:space="0" w:color="auto"/>
        <w:left w:val="none" w:sz="0" w:space="0" w:color="auto"/>
        <w:bottom w:val="none" w:sz="0" w:space="0" w:color="auto"/>
        <w:right w:val="none" w:sz="0" w:space="0" w:color="auto"/>
      </w:divBdr>
    </w:div>
    <w:div w:id="727338035">
      <w:bodyDiv w:val="1"/>
      <w:marLeft w:val="0"/>
      <w:marRight w:val="0"/>
      <w:marTop w:val="0"/>
      <w:marBottom w:val="0"/>
      <w:divBdr>
        <w:top w:val="none" w:sz="0" w:space="0" w:color="auto"/>
        <w:left w:val="none" w:sz="0" w:space="0" w:color="auto"/>
        <w:bottom w:val="none" w:sz="0" w:space="0" w:color="auto"/>
        <w:right w:val="none" w:sz="0" w:space="0" w:color="auto"/>
      </w:divBdr>
    </w:div>
    <w:div w:id="1148403763">
      <w:bodyDiv w:val="1"/>
      <w:marLeft w:val="0"/>
      <w:marRight w:val="0"/>
      <w:marTop w:val="0"/>
      <w:marBottom w:val="0"/>
      <w:divBdr>
        <w:top w:val="none" w:sz="0" w:space="0" w:color="auto"/>
        <w:left w:val="none" w:sz="0" w:space="0" w:color="auto"/>
        <w:bottom w:val="none" w:sz="0" w:space="0" w:color="auto"/>
        <w:right w:val="none" w:sz="0" w:space="0" w:color="auto"/>
      </w:divBdr>
      <w:divsChild>
        <w:div w:id="1438066215">
          <w:marLeft w:val="0"/>
          <w:marRight w:val="0"/>
          <w:marTop w:val="0"/>
          <w:marBottom w:val="0"/>
          <w:divBdr>
            <w:top w:val="none" w:sz="0" w:space="0" w:color="auto"/>
            <w:left w:val="none" w:sz="0" w:space="0" w:color="auto"/>
            <w:bottom w:val="none" w:sz="0" w:space="0" w:color="auto"/>
            <w:right w:val="none" w:sz="0" w:space="0" w:color="auto"/>
          </w:divBdr>
        </w:div>
      </w:divsChild>
    </w:div>
    <w:div w:id="1344356243">
      <w:bodyDiv w:val="1"/>
      <w:marLeft w:val="0"/>
      <w:marRight w:val="0"/>
      <w:marTop w:val="0"/>
      <w:marBottom w:val="0"/>
      <w:divBdr>
        <w:top w:val="none" w:sz="0" w:space="0" w:color="auto"/>
        <w:left w:val="none" w:sz="0" w:space="0" w:color="auto"/>
        <w:bottom w:val="none" w:sz="0" w:space="0" w:color="auto"/>
        <w:right w:val="none" w:sz="0" w:space="0" w:color="auto"/>
      </w:divBdr>
    </w:div>
    <w:div w:id="198161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npromtorg.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npromtorg.gov.ru/activities/vgpp/vgpp1/li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xportce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D94A-5B53-4F85-8065-CB03E9B7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17</Pages>
  <Words>4787</Words>
  <Characters>27288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Коротаева</cp:lastModifiedBy>
  <cp:revision>58</cp:revision>
  <dcterms:created xsi:type="dcterms:W3CDTF">2019-12-11T18:23:00Z</dcterms:created>
  <dcterms:modified xsi:type="dcterms:W3CDTF">2020-02-05T09:57:00Z</dcterms:modified>
</cp:coreProperties>
</file>